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DC" w:rsidRPr="003009ED" w:rsidRDefault="003C4A75" w:rsidP="00264ADC">
      <w:pPr>
        <w:pStyle w:val="Heading1"/>
        <w:pBdr>
          <w:bottom w:val="single" w:sz="4" w:space="1" w:color="auto"/>
        </w:pBdr>
        <w:rPr>
          <w:rFonts w:ascii="Calibri" w:hAnsi="Calibri"/>
          <w:sz w:val="36"/>
          <w:szCs w:val="36"/>
        </w:rPr>
      </w:pPr>
      <w:bookmarkStart w:id="0" w:name="_Ref432586239"/>
      <w:bookmarkStart w:id="1" w:name="_Toc432595599"/>
      <w:bookmarkStart w:id="2" w:name="_Ref431971236"/>
      <w:r w:rsidRPr="003C4A75">
        <w:rPr>
          <w:rFonts w:ascii="Calibri" w:hAnsi="Calibri"/>
          <w:sz w:val="36"/>
          <w:szCs w:val="36"/>
        </w:rPr>
        <w:t>Marrakesh Treaty</w:t>
      </w:r>
      <w:r>
        <w:t xml:space="preserve"> </w:t>
      </w:r>
      <w:r>
        <w:rPr>
          <w:rFonts w:ascii="Calibri" w:hAnsi="Calibri"/>
          <w:sz w:val="36"/>
          <w:szCs w:val="36"/>
        </w:rPr>
        <w:t>- list of key q</w:t>
      </w:r>
      <w:r w:rsidR="00264ADC" w:rsidRPr="003009ED">
        <w:rPr>
          <w:rFonts w:ascii="Calibri" w:hAnsi="Calibri"/>
          <w:sz w:val="36"/>
          <w:szCs w:val="36"/>
        </w:rPr>
        <w:t>uestions</w:t>
      </w:r>
      <w:bookmarkEnd w:id="0"/>
      <w:bookmarkEnd w:id="1"/>
    </w:p>
    <w:p w:rsidR="00264ADC" w:rsidRDefault="00264ADC" w:rsidP="00264ADC">
      <w:pPr>
        <w:pStyle w:val="NoSpacing"/>
        <w:spacing w:before="120" w:after="220" w:line="240" w:lineRule="auto"/>
        <w:jc w:val="both"/>
      </w:pPr>
      <w:r>
        <w:t>The questions below are the key questions that target the experiences and views of people with a print disability. The questions are numbered as they appear in the document and links are included to the relevant page for contex</w:t>
      </w:r>
      <w:bookmarkStart w:id="3" w:name="_GoBack"/>
      <w:bookmarkEnd w:id="3"/>
      <w:r>
        <w:t>t.</w:t>
      </w:r>
    </w:p>
    <w:p w:rsidR="00264ADC" w:rsidRDefault="00264ADC" w:rsidP="00264ADC">
      <w:pPr>
        <w:pStyle w:val="NoSpacing"/>
        <w:spacing w:before="120" w:after="220" w:line="240" w:lineRule="auto"/>
        <w:ind w:left="720" w:hanging="720"/>
        <w:jc w:val="both"/>
      </w:pPr>
      <w:bookmarkStart w:id="4" w:name="_Ref431971267"/>
      <w:bookmarkEnd w:id="2"/>
      <w:r w:rsidRPr="0049747D">
        <w:rPr>
          <w:b/>
        </w:rPr>
        <w:t>Q8.</w:t>
      </w:r>
      <w:r>
        <w:tab/>
        <w:t xml:space="preserve">What impact are international file sharing initiatives like DAISY, TIGAR and </w:t>
      </w:r>
      <w:proofErr w:type="spellStart"/>
      <w:r>
        <w:t>Bookshare</w:t>
      </w:r>
      <w:proofErr w:type="spellEnd"/>
      <w:r>
        <w:t xml:space="preserve"> having on the availability of accessible format copies of works in New Zealand?</w:t>
      </w:r>
      <w:bookmarkEnd w:id="4"/>
      <w:r>
        <w:t xml:space="preserve"> </w:t>
      </w:r>
      <w:r w:rsidRPr="003009ED">
        <w:rPr>
          <w:highlight w:val="lightGray"/>
        </w:rPr>
        <w:fldChar w:fldCharType="begin"/>
      </w:r>
      <w:r w:rsidRPr="003009ED">
        <w:rPr>
          <w:highlight w:val="lightGray"/>
        </w:rPr>
        <w:instrText xml:space="preserve"> PAGEREF _Ref431971994 \h </w:instrText>
      </w:r>
      <w:r w:rsidRPr="003009ED">
        <w:rPr>
          <w:highlight w:val="lightGray"/>
        </w:rPr>
      </w:r>
      <w:r w:rsidRPr="003009ED">
        <w:rPr>
          <w:highlight w:val="lightGray"/>
        </w:rPr>
        <w:fldChar w:fldCharType="separate"/>
      </w:r>
      <w:r w:rsidRPr="003009ED">
        <w:rPr>
          <w:noProof/>
          <w:highlight w:val="lightGray"/>
        </w:rPr>
        <w:t>17</w:t>
      </w:r>
      <w:r w:rsidRPr="003009ED">
        <w:rPr>
          <w:highlight w:val="lightGray"/>
        </w:rPr>
        <w:fldChar w:fldCharType="end"/>
      </w:r>
    </w:p>
    <w:p w:rsidR="00264ADC" w:rsidRPr="00D21902" w:rsidRDefault="00264ADC" w:rsidP="00264ADC">
      <w:pPr>
        <w:pStyle w:val="NoSpacing"/>
        <w:spacing w:before="120" w:after="220" w:line="240" w:lineRule="auto"/>
        <w:ind w:left="720" w:hanging="720"/>
        <w:jc w:val="both"/>
      </w:pPr>
      <w:r w:rsidRPr="0049747D">
        <w:rPr>
          <w:b/>
        </w:rPr>
        <w:t>Q9.</w:t>
      </w:r>
      <w:r>
        <w:tab/>
        <w:t>What challenges do people with print disabilities currently face in obtaining accessible format copies of works to meet their particular needs? Has this changed over time? Do you think any other factors are relevant in the description of the current circumstances facing people with a print disability when trying to access works?</w:t>
      </w:r>
      <w:r w:rsidRPr="00D21902">
        <w:rPr>
          <w:lang w:val="en-GB"/>
        </w:rPr>
        <w:t xml:space="preserve"> </w:t>
      </w:r>
      <w:r w:rsidRPr="003009ED">
        <w:rPr>
          <w:highlight w:val="lightGray"/>
        </w:rPr>
        <w:fldChar w:fldCharType="begin"/>
      </w:r>
      <w:r w:rsidRPr="003009ED">
        <w:rPr>
          <w:highlight w:val="lightGray"/>
        </w:rPr>
        <w:instrText xml:space="preserve"> PAGEREF _Ref431971994 \h </w:instrText>
      </w:r>
      <w:r w:rsidRPr="003009ED">
        <w:rPr>
          <w:highlight w:val="lightGray"/>
        </w:rPr>
      </w:r>
      <w:r w:rsidRPr="003009ED">
        <w:rPr>
          <w:highlight w:val="lightGray"/>
        </w:rPr>
        <w:fldChar w:fldCharType="separate"/>
      </w:r>
      <w:r w:rsidRPr="003009ED">
        <w:rPr>
          <w:noProof/>
          <w:highlight w:val="lightGray"/>
        </w:rPr>
        <w:t>17</w:t>
      </w:r>
      <w:r w:rsidRPr="003009ED">
        <w:rPr>
          <w:highlight w:val="lightGray"/>
        </w:rPr>
        <w:fldChar w:fldCharType="end"/>
      </w:r>
    </w:p>
    <w:p w:rsidR="00264ADC" w:rsidRDefault="00264ADC" w:rsidP="00264ADC">
      <w:pPr>
        <w:pStyle w:val="NoSpacing"/>
        <w:spacing w:before="120" w:after="220" w:line="240" w:lineRule="auto"/>
        <w:jc w:val="both"/>
      </w:pPr>
      <w:bookmarkStart w:id="5" w:name="_Ref431971292"/>
      <w:r w:rsidRPr="0049747D">
        <w:rPr>
          <w:b/>
        </w:rPr>
        <w:t>Q10.</w:t>
      </w:r>
      <w:r>
        <w:t xml:space="preserve"> </w:t>
      </w:r>
      <w:r>
        <w:tab/>
        <w:t>Do you agree with the problem definition outlined in this document?</w:t>
      </w:r>
      <w:bookmarkEnd w:id="5"/>
      <w:r>
        <w:t xml:space="preserve"> </w:t>
      </w:r>
      <w:r w:rsidRPr="003009ED">
        <w:rPr>
          <w:highlight w:val="lightGray"/>
        </w:rPr>
        <w:fldChar w:fldCharType="begin"/>
      </w:r>
      <w:r w:rsidRPr="003009ED">
        <w:rPr>
          <w:highlight w:val="lightGray"/>
        </w:rPr>
        <w:instrText xml:space="preserve"> PAGEREF _Ref431972005 \h </w:instrText>
      </w:r>
      <w:r w:rsidRPr="003009ED">
        <w:rPr>
          <w:highlight w:val="lightGray"/>
        </w:rPr>
      </w:r>
      <w:r w:rsidRPr="003009ED">
        <w:rPr>
          <w:highlight w:val="lightGray"/>
        </w:rPr>
        <w:fldChar w:fldCharType="separate"/>
      </w:r>
      <w:r w:rsidRPr="003009ED">
        <w:rPr>
          <w:noProof/>
          <w:highlight w:val="lightGray"/>
        </w:rPr>
        <w:t>18</w:t>
      </w:r>
      <w:r w:rsidRPr="003009ED">
        <w:rPr>
          <w:highlight w:val="lightGray"/>
        </w:rPr>
        <w:fldChar w:fldCharType="end"/>
      </w:r>
    </w:p>
    <w:p w:rsidR="00264ADC" w:rsidRDefault="00264ADC" w:rsidP="00264ADC">
      <w:pPr>
        <w:pStyle w:val="NoSpacing"/>
        <w:spacing w:before="120" w:after="220" w:line="240" w:lineRule="auto"/>
        <w:jc w:val="both"/>
      </w:pPr>
      <w:r w:rsidRPr="0049747D">
        <w:rPr>
          <w:b/>
        </w:rPr>
        <w:t>Q13.</w:t>
      </w:r>
      <w:r>
        <w:tab/>
        <w:t xml:space="preserve">Do you agree with the policy objectives outlined in this document? </w:t>
      </w:r>
      <w:r w:rsidRPr="003009ED">
        <w:rPr>
          <w:highlight w:val="lightGray"/>
        </w:rPr>
        <w:fldChar w:fldCharType="begin"/>
      </w:r>
      <w:r w:rsidRPr="003009ED">
        <w:rPr>
          <w:highlight w:val="lightGray"/>
        </w:rPr>
        <w:instrText xml:space="preserve"> PAGEREF _Ref431972023 \h </w:instrText>
      </w:r>
      <w:r w:rsidRPr="003009ED">
        <w:rPr>
          <w:highlight w:val="lightGray"/>
        </w:rPr>
      </w:r>
      <w:r w:rsidRPr="003009ED">
        <w:rPr>
          <w:highlight w:val="lightGray"/>
        </w:rPr>
        <w:fldChar w:fldCharType="separate"/>
      </w:r>
      <w:r w:rsidRPr="003009ED">
        <w:rPr>
          <w:noProof/>
          <w:highlight w:val="lightGray"/>
        </w:rPr>
        <w:t>19</w:t>
      </w:r>
      <w:r w:rsidRPr="003009ED">
        <w:rPr>
          <w:highlight w:val="lightGray"/>
        </w:rPr>
        <w:fldChar w:fldCharType="end"/>
      </w:r>
    </w:p>
    <w:p w:rsidR="00264ADC" w:rsidRDefault="00264ADC" w:rsidP="00264ADC">
      <w:pPr>
        <w:pStyle w:val="NoSpacing"/>
        <w:spacing w:before="120" w:after="220" w:line="240" w:lineRule="auto"/>
        <w:ind w:left="720" w:hanging="720"/>
        <w:jc w:val="both"/>
      </w:pPr>
      <w:r w:rsidRPr="0049747D">
        <w:rPr>
          <w:b/>
        </w:rPr>
        <w:t>Q15.</w:t>
      </w:r>
      <w:r>
        <w:t xml:space="preserve"> </w:t>
      </w:r>
      <w:r>
        <w:tab/>
        <w:t xml:space="preserve">Do you think there are any other viable options in addition to the ones explored in this document? </w:t>
      </w:r>
      <w:r w:rsidRPr="003009ED">
        <w:rPr>
          <w:highlight w:val="lightGray"/>
        </w:rPr>
        <w:fldChar w:fldCharType="begin"/>
      </w:r>
      <w:r w:rsidRPr="003009ED">
        <w:rPr>
          <w:highlight w:val="lightGray"/>
        </w:rPr>
        <w:instrText xml:space="preserve"> PAGEREF _Ref431972033 \h </w:instrText>
      </w:r>
      <w:r w:rsidRPr="003009ED">
        <w:rPr>
          <w:highlight w:val="lightGray"/>
        </w:rPr>
      </w:r>
      <w:r w:rsidRPr="003009ED">
        <w:rPr>
          <w:highlight w:val="lightGray"/>
        </w:rPr>
        <w:fldChar w:fldCharType="separate"/>
      </w:r>
      <w:r w:rsidRPr="003009ED">
        <w:rPr>
          <w:noProof/>
          <w:highlight w:val="lightGray"/>
        </w:rPr>
        <w:t>20</w:t>
      </w:r>
      <w:r w:rsidRPr="003009ED">
        <w:rPr>
          <w:highlight w:val="lightGray"/>
        </w:rPr>
        <w:fldChar w:fldCharType="end"/>
      </w:r>
    </w:p>
    <w:p w:rsidR="00264ADC" w:rsidRPr="00BA3BCA" w:rsidRDefault="00264ADC" w:rsidP="00264ADC">
      <w:pPr>
        <w:ind w:left="720" w:hanging="720"/>
        <w:jc w:val="both"/>
        <w:rPr>
          <w:lang w:val="en-GB"/>
        </w:rPr>
      </w:pPr>
      <w:r w:rsidRPr="0049747D">
        <w:rPr>
          <w:b/>
        </w:rPr>
        <w:t>Q20.</w:t>
      </w:r>
      <w:r>
        <w:tab/>
      </w:r>
      <w:r w:rsidRPr="00F82127">
        <w:t xml:space="preserve">Do you think there are any other advantages or disadvantages in joining Marrakesh </w:t>
      </w:r>
      <w:r>
        <w:t>under Option 2 (</w:t>
      </w:r>
      <w:r w:rsidRPr="00F82127">
        <w:t xml:space="preserve">by making </w:t>
      </w:r>
      <w:r>
        <w:t xml:space="preserve">the </w:t>
      </w:r>
      <w:r w:rsidRPr="00F82127">
        <w:t xml:space="preserve">minimum legislative amendments </w:t>
      </w:r>
      <w:r w:rsidRPr="00BA3BCA">
        <w:rPr>
          <w:rFonts w:cs="Arial"/>
        </w:rPr>
        <w:t>required to meet our obligations</w:t>
      </w:r>
      <w:r w:rsidRPr="00F82127">
        <w:t xml:space="preserve"> and</w:t>
      </w:r>
      <w:r w:rsidRPr="00BA3BCA">
        <w:rPr>
          <w:rFonts w:cs="Arial"/>
        </w:rPr>
        <w:t xml:space="preserve"> make the exception workable for cross-border exchange)</w:t>
      </w:r>
      <w:r w:rsidRPr="00F82127">
        <w:t>?</w:t>
      </w:r>
      <w:r w:rsidRPr="00BA3BCA">
        <w:rPr>
          <w:lang w:val="en-GB"/>
        </w:rPr>
        <w:t xml:space="preserve"> </w:t>
      </w:r>
      <w:r w:rsidRPr="003009ED">
        <w:rPr>
          <w:highlight w:val="lightGray"/>
          <w:lang w:val="en-GB"/>
        </w:rPr>
        <w:fldChar w:fldCharType="begin"/>
      </w:r>
      <w:r w:rsidRPr="003009ED">
        <w:rPr>
          <w:highlight w:val="lightGray"/>
          <w:lang w:val="en-GB"/>
        </w:rPr>
        <w:instrText xml:space="preserve"> PAGEREF _Ref431972057 \h </w:instrText>
      </w:r>
      <w:r w:rsidRPr="003009ED">
        <w:rPr>
          <w:highlight w:val="lightGray"/>
          <w:lang w:val="en-GB"/>
        </w:rPr>
      </w:r>
      <w:r w:rsidRPr="003009ED">
        <w:rPr>
          <w:highlight w:val="lightGray"/>
          <w:lang w:val="en-GB"/>
        </w:rPr>
        <w:fldChar w:fldCharType="separate"/>
      </w:r>
      <w:r w:rsidRPr="003009ED">
        <w:rPr>
          <w:noProof/>
          <w:highlight w:val="lightGray"/>
          <w:lang w:val="en-GB"/>
        </w:rPr>
        <w:t>26</w:t>
      </w:r>
      <w:r w:rsidRPr="003009ED">
        <w:rPr>
          <w:highlight w:val="lightGray"/>
          <w:lang w:val="en-GB"/>
        </w:rPr>
        <w:fldChar w:fldCharType="end"/>
      </w:r>
    </w:p>
    <w:p w:rsidR="00264ADC" w:rsidRPr="00BA3BCA" w:rsidRDefault="00264ADC" w:rsidP="00264ADC">
      <w:pPr>
        <w:ind w:left="720" w:hanging="720"/>
        <w:jc w:val="both"/>
        <w:rPr>
          <w:lang w:val="en-GB"/>
        </w:rPr>
      </w:pPr>
      <w:r w:rsidRPr="0049747D">
        <w:rPr>
          <w:b/>
        </w:rPr>
        <w:t>Q21.</w:t>
      </w:r>
      <w:r>
        <w:tab/>
      </w:r>
      <w:r w:rsidRPr="005E194D">
        <w:t xml:space="preserve">Do you </w:t>
      </w:r>
      <w:r>
        <w:t>agree</w:t>
      </w:r>
      <w:r w:rsidRPr="005E194D">
        <w:t xml:space="preserve"> </w:t>
      </w:r>
      <w:r>
        <w:t>there is benefit in</w:t>
      </w:r>
      <w:r w:rsidRPr="005E194D">
        <w:t xml:space="preserve"> </w:t>
      </w:r>
      <w:r>
        <w:t>s</w:t>
      </w:r>
      <w:r w:rsidRPr="005E194D">
        <w:t>pecifically allow</w:t>
      </w:r>
      <w:r>
        <w:t>ing</w:t>
      </w:r>
      <w:r w:rsidRPr="005E194D">
        <w:t xml:space="preserve"> </w:t>
      </w:r>
      <w:r>
        <w:t xml:space="preserve">people with a </w:t>
      </w:r>
      <w:r w:rsidRPr="003009ED">
        <w:rPr>
          <w:rFonts w:cs="Calibri"/>
        </w:rPr>
        <w:t>print disability</w:t>
      </w:r>
      <w:r w:rsidRPr="005E194D">
        <w:t xml:space="preserve"> and caregivers acting on their behalf to make and import accessible format copies</w:t>
      </w:r>
      <w:r>
        <w:t xml:space="preserve"> themselves</w:t>
      </w:r>
      <w:r w:rsidRPr="005E194D">
        <w:t xml:space="preserve">? </w:t>
      </w:r>
      <w:r>
        <w:t>If possible, p</w:t>
      </w:r>
      <w:r w:rsidRPr="005E194D">
        <w:t>lease provide examples</w:t>
      </w:r>
      <w:r w:rsidRPr="004B4CA0">
        <w:t xml:space="preserve">. </w:t>
      </w:r>
      <w:r w:rsidRPr="003009ED">
        <w:rPr>
          <w:shd w:val="clear" w:color="auto" w:fill="D9D9D9"/>
        </w:rPr>
        <w:fldChar w:fldCharType="begin"/>
      </w:r>
      <w:r w:rsidRPr="003009ED">
        <w:rPr>
          <w:shd w:val="clear" w:color="auto" w:fill="D9D9D9"/>
        </w:rPr>
        <w:instrText xml:space="preserve"> PAGEREF _Ref432594530 \h </w:instrText>
      </w:r>
      <w:r w:rsidRPr="003009ED">
        <w:rPr>
          <w:shd w:val="clear" w:color="auto" w:fill="D9D9D9"/>
        </w:rPr>
      </w:r>
      <w:r w:rsidRPr="003009ED">
        <w:rPr>
          <w:shd w:val="clear" w:color="auto" w:fill="D9D9D9"/>
        </w:rPr>
        <w:fldChar w:fldCharType="separate"/>
      </w:r>
      <w:r w:rsidRPr="003009ED">
        <w:rPr>
          <w:noProof/>
          <w:shd w:val="clear" w:color="auto" w:fill="D9D9D9"/>
        </w:rPr>
        <w:t>28</w:t>
      </w:r>
      <w:r w:rsidRPr="003009ED">
        <w:rPr>
          <w:shd w:val="clear" w:color="auto" w:fill="D9D9D9"/>
        </w:rPr>
        <w:fldChar w:fldCharType="end"/>
      </w:r>
      <w:r w:rsidRPr="003009ED">
        <w:rPr>
          <w:shd w:val="clear" w:color="auto" w:fill="D9D9D9"/>
          <w:lang w:val="en-GB"/>
        </w:rPr>
        <w:t xml:space="preserve"> </w:t>
      </w:r>
    </w:p>
    <w:p w:rsidR="00264ADC" w:rsidRPr="00BA3BCA" w:rsidRDefault="00264ADC" w:rsidP="00264ADC">
      <w:pPr>
        <w:ind w:left="720" w:hanging="720"/>
        <w:jc w:val="both"/>
        <w:rPr>
          <w:lang w:val="en-GB"/>
        </w:rPr>
      </w:pPr>
      <w:r w:rsidRPr="0049747D">
        <w:rPr>
          <w:b/>
        </w:rPr>
        <w:t>Q24.</w:t>
      </w:r>
      <w:r>
        <w:tab/>
        <w:t>Is amendment required to provide clarity that reading disabilities such as dyslexia are included? What would be the impact of specifically extending the definition to include those with reading disabilities?</w:t>
      </w:r>
      <w:r w:rsidRPr="00BA3BCA">
        <w:rPr>
          <w:lang w:val="en-GB"/>
        </w:rPr>
        <w:t xml:space="preserve"> </w:t>
      </w:r>
      <w:r w:rsidRPr="003009ED">
        <w:rPr>
          <w:shd w:val="clear" w:color="auto" w:fill="D9D9D9"/>
          <w:lang w:val="en-GB"/>
        </w:rPr>
        <w:fldChar w:fldCharType="begin"/>
      </w:r>
      <w:r w:rsidRPr="003009ED">
        <w:rPr>
          <w:shd w:val="clear" w:color="auto" w:fill="D9D9D9"/>
          <w:lang w:val="en-GB"/>
        </w:rPr>
        <w:instrText xml:space="preserve"> PAGEREF _Ref432594551 \h </w:instrText>
      </w:r>
      <w:r w:rsidRPr="003009ED">
        <w:rPr>
          <w:shd w:val="clear" w:color="auto" w:fill="D9D9D9"/>
          <w:lang w:val="en-GB"/>
        </w:rPr>
      </w:r>
      <w:r w:rsidRPr="003009ED">
        <w:rPr>
          <w:shd w:val="clear" w:color="auto" w:fill="D9D9D9"/>
          <w:lang w:val="en-GB"/>
        </w:rPr>
        <w:fldChar w:fldCharType="separate"/>
      </w:r>
      <w:r w:rsidRPr="003009ED">
        <w:rPr>
          <w:noProof/>
          <w:shd w:val="clear" w:color="auto" w:fill="D9D9D9"/>
          <w:lang w:val="en-GB"/>
        </w:rPr>
        <w:t>28</w:t>
      </w:r>
      <w:r w:rsidRPr="003009ED">
        <w:rPr>
          <w:shd w:val="clear" w:color="auto" w:fill="D9D9D9"/>
          <w:lang w:val="en-GB"/>
        </w:rPr>
        <w:fldChar w:fldCharType="end"/>
      </w:r>
    </w:p>
    <w:p w:rsidR="00264ADC" w:rsidRPr="00BA3BCA" w:rsidRDefault="00264ADC" w:rsidP="00264ADC">
      <w:pPr>
        <w:ind w:left="720" w:hanging="720"/>
        <w:jc w:val="both"/>
        <w:rPr>
          <w:lang w:val="en-GB"/>
        </w:rPr>
      </w:pPr>
      <w:r w:rsidRPr="0049747D">
        <w:rPr>
          <w:b/>
        </w:rPr>
        <w:t>Q25.</w:t>
      </w:r>
      <w:r>
        <w:t xml:space="preserve"> </w:t>
      </w:r>
      <w:r>
        <w:tab/>
        <w:t>Would it be useful to modernise the language used in the current definition of print disability?</w:t>
      </w:r>
      <w:r w:rsidRPr="00BA3BCA">
        <w:rPr>
          <w:lang w:val="en-GB"/>
        </w:rPr>
        <w:t xml:space="preserve"> </w:t>
      </w:r>
      <w:r w:rsidRPr="003009ED">
        <w:rPr>
          <w:shd w:val="clear" w:color="auto" w:fill="D9D9D9"/>
          <w:lang w:val="en-GB"/>
        </w:rPr>
        <w:fldChar w:fldCharType="begin"/>
      </w:r>
      <w:r w:rsidRPr="003009ED">
        <w:rPr>
          <w:shd w:val="clear" w:color="auto" w:fill="D9D9D9"/>
          <w:lang w:val="en-GB"/>
        </w:rPr>
        <w:instrText xml:space="preserve"> PAGEREF _Ref432594551 \h </w:instrText>
      </w:r>
      <w:r w:rsidRPr="003009ED">
        <w:rPr>
          <w:shd w:val="clear" w:color="auto" w:fill="D9D9D9"/>
          <w:lang w:val="en-GB"/>
        </w:rPr>
      </w:r>
      <w:r w:rsidRPr="003009ED">
        <w:rPr>
          <w:shd w:val="clear" w:color="auto" w:fill="D9D9D9"/>
          <w:lang w:val="en-GB"/>
        </w:rPr>
        <w:fldChar w:fldCharType="separate"/>
      </w:r>
      <w:r w:rsidRPr="003009ED">
        <w:rPr>
          <w:noProof/>
          <w:shd w:val="clear" w:color="auto" w:fill="D9D9D9"/>
          <w:lang w:val="en-GB"/>
        </w:rPr>
        <w:t>28</w:t>
      </w:r>
      <w:r w:rsidRPr="003009ED">
        <w:rPr>
          <w:shd w:val="clear" w:color="auto" w:fill="D9D9D9"/>
          <w:lang w:val="en-GB"/>
        </w:rPr>
        <w:fldChar w:fldCharType="end"/>
      </w:r>
    </w:p>
    <w:p w:rsidR="00264ADC" w:rsidRPr="00BA3BCA" w:rsidRDefault="00264ADC" w:rsidP="00264ADC">
      <w:pPr>
        <w:ind w:left="720" w:hanging="720"/>
        <w:jc w:val="both"/>
        <w:rPr>
          <w:lang w:val="en-GB"/>
        </w:rPr>
      </w:pPr>
      <w:r w:rsidRPr="0049747D">
        <w:rPr>
          <w:b/>
        </w:rPr>
        <w:t>Q35.</w:t>
      </w:r>
      <w:r>
        <w:tab/>
      </w:r>
      <w:r w:rsidRPr="004D6193">
        <w:t xml:space="preserve">Do you </w:t>
      </w:r>
      <w:r>
        <w:t xml:space="preserve">agree that Option 3 of joining the Marrakesh Treaty and considering other changes to improve the operation of the exception within the framework allowed for by Marrakesh is the best option? </w:t>
      </w:r>
      <w:r w:rsidRPr="003009ED">
        <w:rPr>
          <w:highlight w:val="lightGray"/>
        </w:rPr>
        <w:fldChar w:fldCharType="begin"/>
      </w:r>
      <w:r w:rsidRPr="003009ED">
        <w:rPr>
          <w:highlight w:val="lightGray"/>
        </w:rPr>
        <w:instrText xml:space="preserve"> PAGEREF _Ref431972071 \h </w:instrText>
      </w:r>
      <w:r w:rsidRPr="003009ED">
        <w:rPr>
          <w:highlight w:val="lightGray"/>
        </w:rPr>
      </w:r>
      <w:r w:rsidRPr="003009ED">
        <w:rPr>
          <w:highlight w:val="lightGray"/>
        </w:rPr>
        <w:fldChar w:fldCharType="separate"/>
      </w:r>
      <w:r w:rsidRPr="003009ED">
        <w:rPr>
          <w:noProof/>
          <w:highlight w:val="lightGray"/>
        </w:rPr>
        <w:t>31</w:t>
      </w:r>
      <w:r w:rsidRPr="003009ED">
        <w:rPr>
          <w:highlight w:val="lightGray"/>
        </w:rPr>
        <w:fldChar w:fldCharType="end"/>
      </w:r>
    </w:p>
    <w:p w:rsidR="00CF7C00" w:rsidRDefault="00264ADC" w:rsidP="00264ADC">
      <w:r>
        <w:rPr>
          <w:sz w:val="36"/>
          <w:szCs w:val="36"/>
        </w:rPr>
        <w:br w:type="page"/>
      </w:r>
    </w:p>
    <w:sectPr w:rsidR="00CF7C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ADC"/>
    <w:rsid w:val="00264ADC"/>
    <w:rsid w:val="003C4A75"/>
    <w:rsid w:val="00CF7C0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ADC"/>
    <w:rPr>
      <w:rFonts w:ascii="Calibri" w:eastAsia="Malgun Gothic" w:hAnsi="Calibri" w:cs="Times New Roman"/>
      <w:lang w:eastAsia="ko-KR"/>
    </w:rPr>
  </w:style>
  <w:style w:type="paragraph" w:styleId="Heading1">
    <w:name w:val="heading 1"/>
    <w:basedOn w:val="Normal"/>
    <w:next w:val="Normal"/>
    <w:link w:val="Heading1Char"/>
    <w:uiPriority w:val="9"/>
    <w:qFormat/>
    <w:rsid w:val="00264ADC"/>
    <w:pPr>
      <w:spacing w:before="480" w:after="0"/>
      <w:contextualSpacing/>
      <w:outlineLvl w:val="0"/>
    </w:pPr>
    <w:rPr>
      <w:rFonts w:ascii="Cambria"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4ADC"/>
    <w:rPr>
      <w:rFonts w:ascii="Cambria" w:eastAsia="Malgun Gothic" w:hAnsi="Cambria" w:cs="Times New Roman"/>
      <w:b/>
      <w:bCs/>
      <w:sz w:val="28"/>
      <w:szCs w:val="28"/>
      <w:lang w:eastAsia="ko-KR"/>
    </w:rPr>
  </w:style>
  <w:style w:type="paragraph" w:styleId="NoSpacing">
    <w:name w:val="No Spacing"/>
    <w:basedOn w:val="Normal"/>
    <w:uiPriority w:val="99"/>
    <w:qFormat/>
    <w:rsid w:val="00264ADC"/>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ADC"/>
    <w:rPr>
      <w:rFonts w:ascii="Calibri" w:eastAsia="Malgun Gothic" w:hAnsi="Calibri" w:cs="Times New Roman"/>
      <w:lang w:eastAsia="ko-KR"/>
    </w:rPr>
  </w:style>
  <w:style w:type="paragraph" w:styleId="Heading1">
    <w:name w:val="heading 1"/>
    <w:basedOn w:val="Normal"/>
    <w:next w:val="Normal"/>
    <w:link w:val="Heading1Char"/>
    <w:uiPriority w:val="9"/>
    <w:qFormat/>
    <w:rsid w:val="00264ADC"/>
    <w:pPr>
      <w:spacing w:before="480" w:after="0"/>
      <w:contextualSpacing/>
      <w:outlineLvl w:val="0"/>
    </w:pPr>
    <w:rPr>
      <w:rFonts w:ascii="Cambria"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4ADC"/>
    <w:rPr>
      <w:rFonts w:ascii="Cambria" w:eastAsia="Malgun Gothic" w:hAnsi="Cambria" w:cs="Times New Roman"/>
      <w:b/>
      <w:bCs/>
      <w:sz w:val="28"/>
      <w:szCs w:val="28"/>
      <w:lang w:eastAsia="ko-KR"/>
    </w:rPr>
  </w:style>
  <w:style w:type="paragraph" w:styleId="NoSpacing">
    <w:name w:val="No Spacing"/>
    <w:basedOn w:val="Normal"/>
    <w:uiPriority w:val="99"/>
    <w:qFormat/>
    <w:rsid w:val="00264ADC"/>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Disabled Persons Assembly</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Champion</dc:creator>
  <cp:lastModifiedBy>Sally Champion</cp:lastModifiedBy>
  <cp:revision>2</cp:revision>
  <dcterms:created xsi:type="dcterms:W3CDTF">2016-01-14T01:20:00Z</dcterms:created>
  <dcterms:modified xsi:type="dcterms:W3CDTF">2016-01-14T04:39:00Z</dcterms:modified>
</cp:coreProperties>
</file>