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8E1A" w14:textId="77777777" w:rsidR="00D32EED" w:rsidRPr="006029A0" w:rsidRDefault="00D32EED" w:rsidP="00D32EED">
      <w:pPr>
        <w:jc w:val="center"/>
        <w:rPr>
          <w:rFonts w:cs="Arial"/>
          <w:color w:val="FF0000"/>
        </w:rPr>
      </w:pPr>
      <w:r>
        <w:rPr>
          <w:noProof/>
        </w:rPr>
        <w:drawing>
          <wp:inline distT="0" distB="0" distL="0" distR="0" wp14:anchorId="38AD4AEA" wp14:editId="034A9B16">
            <wp:extent cx="2944701" cy="1974715"/>
            <wp:effectExtent l="0" t="0" r="8255" b="6985"/>
            <wp:docPr id="1" name="Picture 1" descr="A Whole New Attitude&#10;Disabled Persons Assembly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ole New Attitude&#10;Disabled Persons Assembly N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8430" cy="1977216"/>
                    </a:xfrm>
                    <a:prstGeom prst="rect">
                      <a:avLst/>
                    </a:prstGeom>
                    <a:noFill/>
                    <a:ln>
                      <a:noFill/>
                    </a:ln>
                  </pic:spPr>
                </pic:pic>
              </a:graphicData>
            </a:graphic>
          </wp:inline>
        </w:drawing>
      </w:r>
    </w:p>
    <w:p w14:paraId="2C8C6552" w14:textId="77777777" w:rsidR="00D32EED" w:rsidRDefault="00D32EED" w:rsidP="00D32EED"/>
    <w:p w14:paraId="05EB26CA" w14:textId="77777777" w:rsidR="005C0053" w:rsidRDefault="005C0053" w:rsidP="00D32EED"/>
    <w:p w14:paraId="743A2575" w14:textId="77777777" w:rsidR="006806AF" w:rsidRDefault="006806AF" w:rsidP="00D32EED"/>
    <w:p w14:paraId="5081F96B" w14:textId="65C0AB96" w:rsidR="00D32EED" w:rsidRPr="00160D8A" w:rsidRDefault="001A2E7F" w:rsidP="00D32EED">
      <w:pPr>
        <w:pStyle w:val="Title"/>
        <w:spacing w:line="276" w:lineRule="auto"/>
        <w:rPr>
          <w:color w:val="auto"/>
        </w:rPr>
      </w:pPr>
      <w:r>
        <w:rPr>
          <w:color w:val="auto"/>
        </w:rPr>
        <w:t>Disabled People’s Experiences of Accessing</w:t>
      </w:r>
      <w:r w:rsidR="00D32EED" w:rsidRPr="00160D8A">
        <w:rPr>
          <w:color w:val="auto"/>
        </w:rPr>
        <w:t xml:space="preserve"> </w:t>
      </w:r>
      <w:r>
        <w:rPr>
          <w:color w:val="auto"/>
        </w:rPr>
        <w:t xml:space="preserve">MSD </w:t>
      </w:r>
      <w:r w:rsidR="00D32EED" w:rsidRPr="00160D8A">
        <w:rPr>
          <w:color w:val="auto"/>
        </w:rPr>
        <w:t>Support Funds</w:t>
      </w:r>
    </w:p>
    <w:p w14:paraId="254A5743" w14:textId="77777777" w:rsidR="00D32EED" w:rsidRPr="00160D8A" w:rsidRDefault="00D32EED" w:rsidP="00D32EED">
      <w:pPr>
        <w:pStyle w:val="Title"/>
        <w:spacing w:line="276" w:lineRule="auto"/>
        <w:rPr>
          <w:color w:val="auto"/>
        </w:rPr>
      </w:pPr>
    </w:p>
    <w:p w14:paraId="1CE73F10" w14:textId="77777777" w:rsidR="00D32EED" w:rsidRPr="00160D8A" w:rsidRDefault="00D32EED" w:rsidP="00D32EED">
      <w:pPr>
        <w:rPr>
          <w:color w:val="auto"/>
        </w:rPr>
      </w:pPr>
    </w:p>
    <w:p w14:paraId="36AC5670" w14:textId="7B3B90E1" w:rsidR="00E70FF5" w:rsidRPr="001A2E7F" w:rsidRDefault="00481C66" w:rsidP="00D32EED">
      <w:pPr>
        <w:jc w:val="center"/>
        <w:rPr>
          <w:b/>
          <w:bCs/>
          <w:color w:val="auto"/>
          <w:sz w:val="32"/>
          <w:szCs w:val="32"/>
        </w:rPr>
      </w:pPr>
      <w:r w:rsidRPr="001A2E7F">
        <w:rPr>
          <w:b/>
          <w:bCs/>
          <w:color w:val="auto"/>
          <w:sz w:val="32"/>
          <w:szCs w:val="32"/>
        </w:rPr>
        <w:t>April</w:t>
      </w:r>
      <w:r w:rsidR="00AC4087" w:rsidRPr="001A2E7F">
        <w:rPr>
          <w:b/>
          <w:bCs/>
          <w:color w:val="auto"/>
          <w:sz w:val="32"/>
          <w:szCs w:val="32"/>
        </w:rPr>
        <w:t xml:space="preserve"> 2023</w:t>
      </w:r>
    </w:p>
    <w:p w14:paraId="4A52E94C" w14:textId="77777777" w:rsidR="006806AF" w:rsidRPr="00160D8A" w:rsidRDefault="006806AF" w:rsidP="00D32EED">
      <w:pPr>
        <w:jc w:val="center"/>
        <w:rPr>
          <w:color w:val="auto"/>
        </w:rPr>
      </w:pPr>
    </w:p>
    <w:p w14:paraId="7FE4ED70" w14:textId="1FCCABFF" w:rsidR="006806AF" w:rsidRPr="00160D8A" w:rsidRDefault="006806AF" w:rsidP="006806AF">
      <w:pPr>
        <w:rPr>
          <w:color w:val="auto"/>
        </w:rPr>
      </w:pPr>
    </w:p>
    <w:p w14:paraId="2527F214" w14:textId="77777777" w:rsidR="006806AF" w:rsidRPr="00160D8A" w:rsidRDefault="006806AF" w:rsidP="00D32EED">
      <w:pPr>
        <w:jc w:val="center"/>
        <w:rPr>
          <w:color w:val="auto"/>
        </w:rPr>
      </w:pPr>
    </w:p>
    <w:p w14:paraId="18BC7BCD" w14:textId="0F27164B" w:rsidR="00D32EED" w:rsidRDefault="00E70FF5" w:rsidP="00E70FF5">
      <w:pPr>
        <w:jc w:val="center"/>
      </w:pPr>
      <w:r w:rsidRPr="00160D8A">
        <w:rPr>
          <w:color w:val="auto"/>
        </w:rPr>
        <w:t xml:space="preserve">A </w:t>
      </w:r>
      <w:r w:rsidR="00426A50">
        <w:rPr>
          <w:color w:val="auto"/>
        </w:rPr>
        <w:t>report</w:t>
      </w:r>
      <w:r w:rsidRPr="00160D8A">
        <w:rPr>
          <w:color w:val="auto"/>
        </w:rPr>
        <w:t xml:space="preserve"> for DPA prepared by Angela-Marie Desmarais</w:t>
      </w:r>
      <w:r w:rsidR="00D32EED">
        <w:br w:type="page"/>
      </w:r>
    </w:p>
    <w:sdt>
      <w:sdtPr>
        <w:rPr>
          <w:b/>
          <w:color w:val="5EC3CB"/>
          <w:sz w:val="72"/>
          <w:szCs w:val="72"/>
        </w:rPr>
        <w:id w:val="613482246"/>
        <w:docPartObj>
          <w:docPartGallery w:val="Table of Contents"/>
          <w:docPartUnique/>
        </w:docPartObj>
      </w:sdtPr>
      <w:sdtEndPr>
        <w:rPr>
          <w:b w:val="0"/>
          <w:bCs/>
          <w:noProof/>
          <w:color w:val="000000" w:themeColor="text1"/>
          <w:sz w:val="24"/>
          <w:szCs w:val="22"/>
        </w:rPr>
      </w:sdtEndPr>
      <w:sdtContent>
        <w:p w14:paraId="11E61B40" w14:textId="77777777" w:rsidR="00D32EED" w:rsidRPr="00853A75" w:rsidRDefault="00D32EED" w:rsidP="00352F98">
          <w:pPr>
            <w:spacing w:after="0" w:line="276" w:lineRule="auto"/>
            <w:rPr>
              <w:color w:val="29797F"/>
              <w:sz w:val="72"/>
              <w:szCs w:val="72"/>
            </w:rPr>
          </w:pPr>
          <w:r w:rsidRPr="00853A75">
            <w:rPr>
              <w:color w:val="29797F"/>
              <w:sz w:val="72"/>
              <w:szCs w:val="72"/>
            </w:rPr>
            <w:t>Contents</w:t>
          </w:r>
        </w:p>
        <w:p w14:paraId="3C3FFBFE" w14:textId="3FD90D6A" w:rsidR="000D1F3E" w:rsidRDefault="00D32EED">
          <w:pPr>
            <w:pStyle w:val="TOC1"/>
            <w:rPr>
              <w:rFonts w:asciiTheme="minorHAnsi" w:eastAsiaTheme="minorEastAsia" w:hAnsiTheme="minorHAnsi"/>
              <w:noProof/>
              <w:color w:val="auto"/>
              <w:sz w:val="22"/>
              <w:lang w:eastAsia="en-NZ"/>
            </w:rPr>
          </w:pPr>
          <w:r>
            <w:fldChar w:fldCharType="begin"/>
          </w:r>
          <w:r>
            <w:instrText xml:space="preserve"> TOC \o "1-3" \h \z \u </w:instrText>
          </w:r>
          <w:r>
            <w:fldChar w:fldCharType="separate"/>
          </w:r>
          <w:hyperlink w:anchor="_Toc133076234" w:history="1">
            <w:r w:rsidR="000D1F3E" w:rsidRPr="00D84200">
              <w:rPr>
                <w:rStyle w:val="Hyperlink"/>
                <w:noProof/>
              </w:rPr>
              <w:t>Executive summary</w:t>
            </w:r>
            <w:r w:rsidR="000D1F3E">
              <w:rPr>
                <w:noProof/>
                <w:webHidden/>
              </w:rPr>
              <w:tab/>
            </w:r>
            <w:r w:rsidR="000D1F3E">
              <w:rPr>
                <w:noProof/>
                <w:webHidden/>
              </w:rPr>
              <w:fldChar w:fldCharType="begin"/>
            </w:r>
            <w:r w:rsidR="000D1F3E">
              <w:rPr>
                <w:noProof/>
                <w:webHidden/>
              </w:rPr>
              <w:instrText xml:space="preserve"> PAGEREF _Toc133076234 \h </w:instrText>
            </w:r>
            <w:r w:rsidR="000D1F3E">
              <w:rPr>
                <w:noProof/>
                <w:webHidden/>
              </w:rPr>
            </w:r>
            <w:r w:rsidR="000D1F3E">
              <w:rPr>
                <w:noProof/>
                <w:webHidden/>
              </w:rPr>
              <w:fldChar w:fldCharType="separate"/>
            </w:r>
            <w:r w:rsidR="00CB79DB">
              <w:rPr>
                <w:noProof/>
                <w:webHidden/>
              </w:rPr>
              <w:t>4</w:t>
            </w:r>
            <w:r w:rsidR="000D1F3E">
              <w:rPr>
                <w:noProof/>
                <w:webHidden/>
              </w:rPr>
              <w:fldChar w:fldCharType="end"/>
            </w:r>
          </w:hyperlink>
        </w:p>
        <w:p w14:paraId="7DB32566" w14:textId="4C204160" w:rsidR="000D1F3E" w:rsidRDefault="00000000">
          <w:pPr>
            <w:pStyle w:val="TOC1"/>
            <w:rPr>
              <w:rFonts w:asciiTheme="minorHAnsi" w:eastAsiaTheme="minorEastAsia" w:hAnsiTheme="minorHAnsi"/>
              <w:noProof/>
              <w:color w:val="auto"/>
              <w:sz w:val="22"/>
              <w:lang w:eastAsia="en-NZ"/>
            </w:rPr>
          </w:pPr>
          <w:hyperlink w:anchor="_Toc133076235" w:history="1">
            <w:r w:rsidR="000D1F3E" w:rsidRPr="00D84200">
              <w:rPr>
                <w:rStyle w:val="Hyperlink"/>
                <w:noProof/>
              </w:rPr>
              <w:t>Background</w:t>
            </w:r>
            <w:r w:rsidR="000D1F3E">
              <w:rPr>
                <w:noProof/>
                <w:webHidden/>
              </w:rPr>
              <w:tab/>
            </w:r>
            <w:r w:rsidR="000D1F3E">
              <w:rPr>
                <w:noProof/>
                <w:webHidden/>
              </w:rPr>
              <w:fldChar w:fldCharType="begin"/>
            </w:r>
            <w:r w:rsidR="000D1F3E">
              <w:rPr>
                <w:noProof/>
                <w:webHidden/>
              </w:rPr>
              <w:instrText xml:space="preserve"> PAGEREF _Toc133076235 \h </w:instrText>
            </w:r>
            <w:r w:rsidR="000D1F3E">
              <w:rPr>
                <w:noProof/>
                <w:webHidden/>
              </w:rPr>
            </w:r>
            <w:r w:rsidR="000D1F3E">
              <w:rPr>
                <w:noProof/>
                <w:webHidden/>
              </w:rPr>
              <w:fldChar w:fldCharType="separate"/>
            </w:r>
            <w:r w:rsidR="00CB79DB">
              <w:rPr>
                <w:noProof/>
                <w:webHidden/>
              </w:rPr>
              <w:t>6</w:t>
            </w:r>
            <w:r w:rsidR="000D1F3E">
              <w:rPr>
                <w:noProof/>
                <w:webHidden/>
              </w:rPr>
              <w:fldChar w:fldCharType="end"/>
            </w:r>
          </w:hyperlink>
        </w:p>
        <w:p w14:paraId="5CAEA9FF" w14:textId="11428A4E"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36" w:history="1">
            <w:r w:rsidR="000D1F3E" w:rsidRPr="00D84200">
              <w:rPr>
                <w:rStyle w:val="Hyperlink"/>
                <w:noProof/>
              </w:rPr>
              <w:t>Support Funds eligibility criteria</w:t>
            </w:r>
            <w:r w:rsidR="000D1F3E">
              <w:rPr>
                <w:noProof/>
                <w:webHidden/>
              </w:rPr>
              <w:tab/>
            </w:r>
            <w:r w:rsidR="000D1F3E">
              <w:rPr>
                <w:noProof/>
                <w:webHidden/>
              </w:rPr>
              <w:fldChar w:fldCharType="begin"/>
            </w:r>
            <w:r w:rsidR="000D1F3E">
              <w:rPr>
                <w:noProof/>
                <w:webHidden/>
              </w:rPr>
              <w:instrText xml:space="preserve"> PAGEREF _Toc133076236 \h </w:instrText>
            </w:r>
            <w:r w:rsidR="000D1F3E">
              <w:rPr>
                <w:noProof/>
                <w:webHidden/>
              </w:rPr>
            </w:r>
            <w:r w:rsidR="000D1F3E">
              <w:rPr>
                <w:noProof/>
                <w:webHidden/>
              </w:rPr>
              <w:fldChar w:fldCharType="separate"/>
            </w:r>
            <w:r w:rsidR="00CB79DB">
              <w:rPr>
                <w:noProof/>
                <w:webHidden/>
              </w:rPr>
              <w:t>6</w:t>
            </w:r>
            <w:r w:rsidR="000D1F3E">
              <w:rPr>
                <w:noProof/>
                <w:webHidden/>
              </w:rPr>
              <w:fldChar w:fldCharType="end"/>
            </w:r>
          </w:hyperlink>
        </w:p>
        <w:p w14:paraId="33BC83DD" w14:textId="36195FE1"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37" w:history="1">
            <w:r w:rsidR="000D1F3E" w:rsidRPr="00D84200">
              <w:rPr>
                <w:rStyle w:val="Hyperlink"/>
                <w:noProof/>
              </w:rPr>
              <w:t>Disabled People in the labour market</w:t>
            </w:r>
            <w:r w:rsidR="000D1F3E">
              <w:rPr>
                <w:noProof/>
                <w:webHidden/>
              </w:rPr>
              <w:tab/>
            </w:r>
            <w:r w:rsidR="000D1F3E">
              <w:rPr>
                <w:noProof/>
                <w:webHidden/>
              </w:rPr>
              <w:fldChar w:fldCharType="begin"/>
            </w:r>
            <w:r w:rsidR="000D1F3E">
              <w:rPr>
                <w:noProof/>
                <w:webHidden/>
              </w:rPr>
              <w:instrText xml:space="preserve"> PAGEREF _Toc133076237 \h </w:instrText>
            </w:r>
            <w:r w:rsidR="000D1F3E">
              <w:rPr>
                <w:noProof/>
                <w:webHidden/>
              </w:rPr>
            </w:r>
            <w:r w:rsidR="000D1F3E">
              <w:rPr>
                <w:noProof/>
                <w:webHidden/>
              </w:rPr>
              <w:fldChar w:fldCharType="separate"/>
            </w:r>
            <w:r w:rsidR="00CB79DB">
              <w:rPr>
                <w:noProof/>
                <w:webHidden/>
              </w:rPr>
              <w:t>7</w:t>
            </w:r>
            <w:r w:rsidR="000D1F3E">
              <w:rPr>
                <w:noProof/>
                <w:webHidden/>
              </w:rPr>
              <w:fldChar w:fldCharType="end"/>
            </w:r>
          </w:hyperlink>
        </w:p>
        <w:p w14:paraId="621B8229" w14:textId="7B011F2B"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38" w:history="1">
            <w:r w:rsidR="000D1F3E" w:rsidRPr="00D84200">
              <w:rPr>
                <w:rStyle w:val="Hyperlink"/>
                <w:noProof/>
              </w:rPr>
              <w:t>Data on Support Funds</w:t>
            </w:r>
            <w:r w:rsidR="000D1F3E">
              <w:rPr>
                <w:noProof/>
                <w:webHidden/>
              </w:rPr>
              <w:tab/>
            </w:r>
            <w:r w:rsidR="000D1F3E">
              <w:rPr>
                <w:noProof/>
                <w:webHidden/>
              </w:rPr>
              <w:fldChar w:fldCharType="begin"/>
            </w:r>
            <w:r w:rsidR="000D1F3E">
              <w:rPr>
                <w:noProof/>
                <w:webHidden/>
              </w:rPr>
              <w:instrText xml:space="preserve"> PAGEREF _Toc133076238 \h </w:instrText>
            </w:r>
            <w:r w:rsidR="000D1F3E">
              <w:rPr>
                <w:noProof/>
                <w:webHidden/>
              </w:rPr>
            </w:r>
            <w:r w:rsidR="000D1F3E">
              <w:rPr>
                <w:noProof/>
                <w:webHidden/>
              </w:rPr>
              <w:fldChar w:fldCharType="separate"/>
            </w:r>
            <w:r w:rsidR="00CB79DB">
              <w:rPr>
                <w:noProof/>
                <w:webHidden/>
              </w:rPr>
              <w:t>8</w:t>
            </w:r>
            <w:r w:rsidR="000D1F3E">
              <w:rPr>
                <w:noProof/>
                <w:webHidden/>
              </w:rPr>
              <w:fldChar w:fldCharType="end"/>
            </w:r>
          </w:hyperlink>
        </w:p>
        <w:p w14:paraId="545D46AB" w14:textId="59939955"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39" w:history="1">
            <w:r w:rsidR="000D1F3E" w:rsidRPr="00D84200">
              <w:rPr>
                <w:rStyle w:val="Hyperlink"/>
                <w:noProof/>
              </w:rPr>
              <w:t>Budget and spending</w:t>
            </w:r>
            <w:r w:rsidR="000D1F3E">
              <w:rPr>
                <w:noProof/>
                <w:webHidden/>
              </w:rPr>
              <w:tab/>
            </w:r>
            <w:r w:rsidR="000D1F3E">
              <w:rPr>
                <w:noProof/>
                <w:webHidden/>
              </w:rPr>
              <w:fldChar w:fldCharType="begin"/>
            </w:r>
            <w:r w:rsidR="000D1F3E">
              <w:rPr>
                <w:noProof/>
                <w:webHidden/>
              </w:rPr>
              <w:instrText xml:space="preserve"> PAGEREF _Toc133076239 \h </w:instrText>
            </w:r>
            <w:r w:rsidR="000D1F3E">
              <w:rPr>
                <w:noProof/>
                <w:webHidden/>
              </w:rPr>
            </w:r>
            <w:r w:rsidR="000D1F3E">
              <w:rPr>
                <w:noProof/>
                <w:webHidden/>
              </w:rPr>
              <w:fldChar w:fldCharType="separate"/>
            </w:r>
            <w:r w:rsidR="00CB79DB">
              <w:rPr>
                <w:noProof/>
                <w:webHidden/>
              </w:rPr>
              <w:t>8</w:t>
            </w:r>
            <w:r w:rsidR="000D1F3E">
              <w:rPr>
                <w:noProof/>
                <w:webHidden/>
              </w:rPr>
              <w:fldChar w:fldCharType="end"/>
            </w:r>
          </w:hyperlink>
        </w:p>
        <w:p w14:paraId="196CFDEB" w14:textId="33620596"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40" w:history="1">
            <w:r w:rsidR="000D1F3E" w:rsidRPr="00D84200">
              <w:rPr>
                <w:rStyle w:val="Hyperlink"/>
                <w:noProof/>
              </w:rPr>
              <w:t>Access to the funding maximum</w:t>
            </w:r>
            <w:r w:rsidR="000D1F3E">
              <w:rPr>
                <w:noProof/>
                <w:webHidden/>
              </w:rPr>
              <w:tab/>
            </w:r>
            <w:r w:rsidR="000D1F3E">
              <w:rPr>
                <w:noProof/>
                <w:webHidden/>
              </w:rPr>
              <w:fldChar w:fldCharType="begin"/>
            </w:r>
            <w:r w:rsidR="000D1F3E">
              <w:rPr>
                <w:noProof/>
                <w:webHidden/>
              </w:rPr>
              <w:instrText xml:space="preserve"> PAGEREF _Toc133076240 \h </w:instrText>
            </w:r>
            <w:r w:rsidR="000D1F3E">
              <w:rPr>
                <w:noProof/>
                <w:webHidden/>
              </w:rPr>
            </w:r>
            <w:r w:rsidR="000D1F3E">
              <w:rPr>
                <w:noProof/>
                <w:webHidden/>
              </w:rPr>
              <w:fldChar w:fldCharType="separate"/>
            </w:r>
            <w:r w:rsidR="00CB79DB">
              <w:rPr>
                <w:noProof/>
                <w:webHidden/>
              </w:rPr>
              <w:t>9</w:t>
            </w:r>
            <w:r w:rsidR="000D1F3E">
              <w:rPr>
                <w:noProof/>
                <w:webHidden/>
              </w:rPr>
              <w:fldChar w:fldCharType="end"/>
            </w:r>
          </w:hyperlink>
        </w:p>
        <w:p w14:paraId="0555D427" w14:textId="245ED2F4"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41" w:history="1">
            <w:r w:rsidR="000D1F3E" w:rsidRPr="00D84200">
              <w:rPr>
                <w:rStyle w:val="Hyperlink"/>
                <w:noProof/>
              </w:rPr>
              <w:t>A decline in applications</w:t>
            </w:r>
            <w:r w:rsidR="000D1F3E">
              <w:rPr>
                <w:noProof/>
                <w:webHidden/>
              </w:rPr>
              <w:tab/>
            </w:r>
            <w:r w:rsidR="000D1F3E">
              <w:rPr>
                <w:noProof/>
                <w:webHidden/>
              </w:rPr>
              <w:fldChar w:fldCharType="begin"/>
            </w:r>
            <w:r w:rsidR="000D1F3E">
              <w:rPr>
                <w:noProof/>
                <w:webHidden/>
              </w:rPr>
              <w:instrText xml:space="preserve"> PAGEREF _Toc133076241 \h </w:instrText>
            </w:r>
            <w:r w:rsidR="000D1F3E">
              <w:rPr>
                <w:noProof/>
                <w:webHidden/>
              </w:rPr>
            </w:r>
            <w:r w:rsidR="000D1F3E">
              <w:rPr>
                <w:noProof/>
                <w:webHidden/>
              </w:rPr>
              <w:fldChar w:fldCharType="separate"/>
            </w:r>
            <w:r w:rsidR="00CB79DB">
              <w:rPr>
                <w:noProof/>
                <w:webHidden/>
              </w:rPr>
              <w:t>9</w:t>
            </w:r>
            <w:r w:rsidR="000D1F3E">
              <w:rPr>
                <w:noProof/>
                <w:webHidden/>
              </w:rPr>
              <w:fldChar w:fldCharType="end"/>
            </w:r>
          </w:hyperlink>
        </w:p>
        <w:p w14:paraId="48B87CFD" w14:textId="0A215FD9"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42" w:history="1">
            <w:r w:rsidR="000D1F3E" w:rsidRPr="00D84200">
              <w:rPr>
                <w:rStyle w:val="Hyperlink"/>
                <w:noProof/>
              </w:rPr>
              <w:t>Inconsistencies in data</w:t>
            </w:r>
            <w:r w:rsidR="000D1F3E">
              <w:rPr>
                <w:noProof/>
                <w:webHidden/>
              </w:rPr>
              <w:tab/>
            </w:r>
            <w:r w:rsidR="000D1F3E">
              <w:rPr>
                <w:noProof/>
                <w:webHidden/>
              </w:rPr>
              <w:fldChar w:fldCharType="begin"/>
            </w:r>
            <w:r w:rsidR="000D1F3E">
              <w:rPr>
                <w:noProof/>
                <w:webHidden/>
              </w:rPr>
              <w:instrText xml:space="preserve"> PAGEREF _Toc133076242 \h </w:instrText>
            </w:r>
            <w:r w:rsidR="000D1F3E">
              <w:rPr>
                <w:noProof/>
                <w:webHidden/>
              </w:rPr>
            </w:r>
            <w:r w:rsidR="000D1F3E">
              <w:rPr>
                <w:noProof/>
                <w:webHidden/>
              </w:rPr>
              <w:fldChar w:fldCharType="separate"/>
            </w:r>
            <w:r w:rsidR="00CB79DB">
              <w:rPr>
                <w:noProof/>
                <w:webHidden/>
              </w:rPr>
              <w:t>10</w:t>
            </w:r>
            <w:r w:rsidR="000D1F3E">
              <w:rPr>
                <w:noProof/>
                <w:webHidden/>
              </w:rPr>
              <w:fldChar w:fldCharType="end"/>
            </w:r>
          </w:hyperlink>
        </w:p>
        <w:p w14:paraId="689FBED0" w14:textId="2B7CBCBB"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43" w:history="1">
            <w:r w:rsidR="000D1F3E" w:rsidRPr="00D84200">
              <w:rPr>
                <w:rStyle w:val="Hyperlink"/>
                <w:noProof/>
              </w:rPr>
              <w:t>Data on inflation</w:t>
            </w:r>
            <w:r w:rsidR="000D1F3E">
              <w:rPr>
                <w:noProof/>
                <w:webHidden/>
              </w:rPr>
              <w:tab/>
            </w:r>
            <w:r w:rsidR="000D1F3E">
              <w:rPr>
                <w:noProof/>
                <w:webHidden/>
              </w:rPr>
              <w:fldChar w:fldCharType="begin"/>
            </w:r>
            <w:r w:rsidR="000D1F3E">
              <w:rPr>
                <w:noProof/>
                <w:webHidden/>
              </w:rPr>
              <w:instrText xml:space="preserve"> PAGEREF _Toc133076243 \h </w:instrText>
            </w:r>
            <w:r w:rsidR="000D1F3E">
              <w:rPr>
                <w:noProof/>
                <w:webHidden/>
              </w:rPr>
            </w:r>
            <w:r w:rsidR="000D1F3E">
              <w:rPr>
                <w:noProof/>
                <w:webHidden/>
              </w:rPr>
              <w:fldChar w:fldCharType="separate"/>
            </w:r>
            <w:r w:rsidR="00CB79DB">
              <w:rPr>
                <w:noProof/>
                <w:webHidden/>
              </w:rPr>
              <w:t>11</w:t>
            </w:r>
            <w:r w:rsidR="000D1F3E">
              <w:rPr>
                <w:noProof/>
                <w:webHidden/>
              </w:rPr>
              <w:fldChar w:fldCharType="end"/>
            </w:r>
          </w:hyperlink>
        </w:p>
        <w:p w14:paraId="536827A6" w14:textId="090A25EB" w:rsidR="000D1F3E" w:rsidRDefault="00000000">
          <w:pPr>
            <w:pStyle w:val="TOC1"/>
            <w:rPr>
              <w:rFonts w:asciiTheme="minorHAnsi" w:eastAsiaTheme="minorEastAsia" w:hAnsiTheme="minorHAnsi"/>
              <w:noProof/>
              <w:color w:val="auto"/>
              <w:sz w:val="22"/>
              <w:lang w:eastAsia="en-NZ"/>
            </w:rPr>
          </w:pPr>
          <w:hyperlink w:anchor="_Toc133076244" w:history="1">
            <w:r w:rsidR="000D1F3E" w:rsidRPr="00D84200">
              <w:rPr>
                <w:rStyle w:val="Hyperlink"/>
                <w:noProof/>
              </w:rPr>
              <w:t>Disabled people’s experiences of accessing Support Funds</w:t>
            </w:r>
            <w:r w:rsidR="000D1F3E">
              <w:rPr>
                <w:noProof/>
                <w:webHidden/>
              </w:rPr>
              <w:tab/>
            </w:r>
            <w:r w:rsidR="000D1F3E">
              <w:rPr>
                <w:noProof/>
                <w:webHidden/>
              </w:rPr>
              <w:fldChar w:fldCharType="begin"/>
            </w:r>
            <w:r w:rsidR="000D1F3E">
              <w:rPr>
                <w:noProof/>
                <w:webHidden/>
              </w:rPr>
              <w:instrText xml:space="preserve"> PAGEREF _Toc133076244 \h </w:instrText>
            </w:r>
            <w:r w:rsidR="000D1F3E">
              <w:rPr>
                <w:noProof/>
                <w:webHidden/>
              </w:rPr>
            </w:r>
            <w:r w:rsidR="000D1F3E">
              <w:rPr>
                <w:noProof/>
                <w:webHidden/>
              </w:rPr>
              <w:fldChar w:fldCharType="separate"/>
            </w:r>
            <w:r w:rsidR="00CB79DB">
              <w:rPr>
                <w:noProof/>
                <w:webHidden/>
              </w:rPr>
              <w:t>12</w:t>
            </w:r>
            <w:r w:rsidR="000D1F3E">
              <w:rPr>
                <w:noProof/>
                <w:webHidden/>
              </w:rPr>
              <w:fldChar w:fldCharType="end"/>
            </w:r>
          </w:hyperlink>
        </w:p>
        <w:p w14:paraId="5DC5EF55" w14:textId="4806F79C"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45" w:history="1">
            <w:r w:rsidR="000D1F3E" w:rsidRPr="00D84200">
              <w:rPr>
                <w:rStyle w:val="Hyperlink"/>
                <w:noProof/>
              </w:rPr>
              <w:t>Support Funds can be difficult to access</w:t>
            </w:r>
            <w:r w:rsidR="000D1F3E">
              <w:rPr>
                <w:noProof/>
                <w:webHidden/>
              </w:rPr>
              <w:tab/>
            </w:r>
            <w:r w:rsidR="000D1F3E">
              <w:rPr>
                <w:noProof/>
                <w:webHidden/>
              </w:rPr>
              <w:fldChar w:fldCharType="begin"/>
            </w:r>
            <w:r w:rsidR="000D1F3E">
              <w:rPr>
                <w:noProof/>
                <w:webHidden/>
              </w:rPr>
              <w:instrText xml:space="preserve"> PAGEREF _Toc133076245 \h </w:instrText>
            </w:r>
            <w:r w:rsidR="000D1F3E">
              <w:rPr>
                <w:noProof/>
                <w:webHidden/>
              </w:rPr>
            </w:r>
            <w:r w:rsidR="000D1F3E">
              <w:rPr>
                <w:noProof/>
                <w:webHidden/>
              </w:rPr>
              <w:fldChar w:fldCharType="separate"/>
            </w:r>
            <w:r w:rsidR="00CB79DB">
              <w:rPr>
                <w:noProof/>
                <w:webHidden/>
              </w:rPr>
              <w:t>12</w:t>
            </w:r>
            <w:r w:rsidR="000D1F3E">
              <w:rPr>
                <w:noProof/>
                <w:webHidden/>
              </w:rPr>
              <w:fldChar w:fldCharType="end"/>
            </w:r>
          </w:hyperlink>
        </w:p>
        <w:p w14:paraId="0D7B7C87" w14:textId="52E0B273"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46" w:history="1">
            <w:r w:rsidR="000D1F3E" w:rsidRPr="00D84200">
              <w:rPr>
                <w:rStyle w:val="Hyperlink"/>
                <w:noProof/>
              </w:rPr>
              <w:t>Applying is a difficult and laborious process</w:t>
            </w:r>
            <w:r w:rsidR="000D1F3E">
              <w:rPr>
                <w:noProof/>
                <w:webHidden/>
              </w:rPr>
              <w:tab/>
            </w:r>
            <w:r w:rsidR="000D1F3E">
              <w:rPr>
                <w:noProof/>
                <w:webHidden/>
              </w:rPr>
              <w:fldChar w:fldCharType="begin"/>
            </w:r>
            <w:r w:rsidR="000D1F3E">
              <w:rPr>
                <w:noProof/>
                <w:webHidden/>
              </w:rPr>
              <w:instrText xml:space="preserve"> PAGEREF _Toc133076246 \h </w:instrText>
            </w:r>
            <w:r w:rsidR="000D1F3E">
              <w:rPr>
                <w:noProof/>
                <w:webHidden/>
              </w:rPr>
            </w:r>
            <w:r w:rsidR="000D1F3E">
              <w:rPr>
                <w:noProof/>
                <w:webHidden/>
              </w:rPr>
              <w:fldChar w:fldCharType="separate"/>
            </w:r>
            <w:r w:rsidR="00CB79DB">
              <w:rPr>
                <w:noProof/>
                <w:webHidden/>
              </w:rPr>
              <w:t>13</w:t>
            </w:r>
            <w:r w:rsidR="000D1F3E">
              <w:rPr>
                <w:noProof/>
                <w:webHidden/>
              </w:rPr>
              <w:fldChar w:fldCharType="end"/>
            </w:r>
          </w:hyperlink>
        </w:p>
        <w:p w14:paraId="5565090E" w14:textId="32CEC200"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47" w:history="1">
            <w:r w:rsidR="000D1F3E" w:rsidRPr="00D84200">
              <w:rPr>
                <w:rStyle w:val="Hyperlink"/>
                <w:noProof/>
              </w:rPr>
              <w:t>The ‘fund of last resort’</w:t>
            </w:r>
            <w:r w:rsidR="000D1F3E">
              <w:rPr>
                <w:noProof/>
                <w:webHidden/>
              </w:rPr>
              <w:tab/>
            </w:r>
            <w:r w:rsidR="000D1F3E">
              <w:rPr>
                <w:noProof/>
                <w:webHidden/>
              </w:rPr>
              <w:fldChar w:fldCharType="begin"/>
            </w:r>
            <w:r w:rsidR="000D1F3E">
              <w:rPr>
                <w:noProof/>
                <w:webHidden/>
              </w:rPr>
              <w:instrText xml:space="preserve"> PAGEREF _Toc133076247 \h </w:instrText>
            </w:r>
            <w:r w:rsidR="000D1F3E">
              <w:rPr>
                <w:noProof/>
                <w:webHidden/>
              </w:rPr>
            </w:r>
            <w:r w:rsidR="000D1F3E">
              <w:rPr>
                <w:noProof/>
                <w:webHidden/>
              </w:rPr>
              <w:fldChar w:fldCharType="separate"/>
            </w:r>
            <w:r w:rsidR="00CB79DB">
              <w:rPr>
                <w:noProof/>
                <w:webHidden/>
              </w:rPr>
              <w:t>14</w:t>
            </w:r>
            <w:r w:rsidR="000D1F3E">
              <w:rPr>
                <w:noProof/>
                <w:webHidden/>
              </w:rPr>
              <w:fldChar w:fldCharType="end"/>
            </w:r>
          </w:hyperlink>
        </w:p>
        <w:p w14:paraId="201938E7" w14:textId="1ADE1BFA"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48" w:history="1">
            <w:r w:rsidR="000D1F3E" w:rsidRPr="00D84200">
              <w:rPr>
                <w:rStyle w:val="Hyperlink"/>
                <w:noProof/>
              </w:rPr>
              <w:t>Access to transport support</w:t>
            </w:r>
            <w:r w:rsidR="000D1F3E">
              <w:rPr>
                <w:noProof/>
                <w:webHidden/>
              </w:rPr>
              <w:tab/>
            </w:r>
            <w:r w:rsidR="000D1F3E">
              <w:rPr>
                <w:noProof/>
                <w:webHidden/>
              </w:rPr>
              <w:fldChar w:fldCharType="begin"/>
            </w:r>
            <w:r w:rsidR="000D1F3E">
              <w:rPr>
                <w:noProof/>
                <w:webHidden/>
              </w:rPr>
              <w:instrText xml:space="preserve"> PAGEREF _Toc133076248 \h </w:instrText>
            </w:r>
            <w:r w:rsidR="000D1F3E">
              <w:rPr>
                <w:noProof/>
                <w:webHidden/>
              </w:rPr>
            </w:r>
            <w:r w:rsidR="000D1F3E">
              <w:rPr>
                <w:noProof/>
                <w:webHidden/>
              </w:rPr>
              <w:fldChar w:fldCharType="separate"/>
            </w:r>
            <w:r w:rsidR="00CB79DB">
              <w:rPr>
                <w:noProof/>
                <w:webHidden/>
              </w:rPr>
              <w:t>14</w:t>
            </w:r>
            <w:r w:rsidR="000D1F3E">
              <w:rPr>
                <w:noProof/>
                <w:webHidden/>
              </w:rPr>
              <w:fldChar w:fldCharType="end"/>
            </w:r>
          </w:hyperlink>
        </w:p>
        <w:p w14:paraId="02A8AF18" w14:textId="251C3314"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49" w:history="1">
            <w:r w:rsidR="000D1F3E" w:rsidRPr="00D84200">
              <w:rPr>
                <w:rStyle w:val="Hyperlink"/>
                <w:noProof/>
              </w:rPr>
              <w:t>Self-employment challenges</w:t>
            </w:r>
            <w:r w:rsidR="000D1F3E">
              <w:rPr>
                <w:noProof/>
                <w:webHidden/>
              </w:rPr>
              <w:tab/>
            </w:r>
            <w:r w:rsidR="000D1F3E">
              <w:rPr>
                <w:noProof/>
                <w:webHidden/>
              </w:rPr>
              <w:fldChar w:fldCharType="begin"/>
            </w:r>
            <w:r w:rsidR="000D1F3E">
              <w:rPr>
                <w:noProof/>
                <w:webHidden/>
              </w:rPr>
              <w:instrText xml:space="preserve"> PAGEREF _Toc133076249 \h </w:instrText>
            </w:r>
            <w:r w:rsidR="000D1F3E">
              <w:rPr>
                <w:noProof/>
                <w:webHidden/>
              </w:rPr>
            </w:r>
            <w:r w:rsidR="000D1F3E">
              <w:rPr>
                <w:noProof/>
                <w:webHidden/>
              </w:rPr>
              <w:fldChar w:fldCharType="separate"/>
            </w:r>
            <w:r w:rsidR="00CB79DB">
              <w:rPr>
                <w:noProof/>
                <w:webHidden/>
              </w:rPr>
              <w:t>15</w:t>
            </w:r>
            <w:r w:rsidR="000D1F3E">
              <w:rPr>
                <w:noProof/>
                <w:webHidden/>
              </w:rPr>
              <w:fldChar w:fldCharType="end"/>
            </w:r>
          </w:hyperlink>
        </w:p>
        <w:p w14:paraId="1C51CF89" w14:textId="47C32C4C"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50" w:history="1">
            <w:r w:rsidR="000D1F3E" w:rsidRPr="00D84200">
              <w:rPr>
                <w:rStyle w:val="Hyperlink"/>
                <w:noProof/>
                <w:lang w:val="en-US"/>
              </w:rPr>
              <w:t>Declined applications</w:t>
            </w:r>
            <w:r w:rsidR="000D1F3E">
              <w:rPr>
                <w:noProof/>
                <w:webHidden/>
              </w:rPr>
              <w:tab/>
            </w:r>
            <w:r w:rsidR="000D1F3E">
              <w:rPr>
                <w:noProof/>
                <w:webHidden/>
              </w:rPr>
              <w:fldChar w:fldCharType="begin"/>
            </w:r>
            <w:r w:rsidR="000D1F3E">
              <w:rPr>
                <w:noProof/>
                <w:webHidden/>
              </w:rPr>
              <w:instrText xml:space="preserve"> PAGEREF _Toc133076250 \h </w:instrText>
            </w:r>
            <w:r w:rsidR="000D1F3E">
              <w:rPr>
                <w:noProof/>
                <w:webHidden/>
              </w:rPr>
            </w:r>
            <w:r w:rsidR="000D1F3E">
              <w:rPr>
                <w:noProof/>
                <w:webHidden/>
              </w:rPr>
              <w:fldChar w:fldCharType="separate"/>
            </w:r>
            <w:r w:rsidR="00CB79DB">
              <w:rPr>
                <w:noProof/>
                <w:webHidden/>
              </w:rPr>
              <w:t>16</w:t>
            </w:r>
            <w:r w:rsidR="000D1F3E">
              <w:rPr>
                <w:noProof/>
                <w:webHidden/>
              </w:rPr>
              <w:fldChar w:fldCharType="end"/>
            </w:r>
          </w:hyperlink>
        </w:p>
        <w:p w14:paraId="09938DDF" w14:textId="4EFBCABA"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51" w:history="1">
            <w:r w:rsidR="000D1F3E" w:rsidRPr="00D84200">
              <w:rPr>
                <w:rStyle w:val="Hyperlink"/>
                <w:noProof/>
              </w:rPr>
              <w:t>Reasonable accommodations</w:t>
            </w:r>
            <w:r w:rsidR="000D1F3E">
              <w:rPr>
                <w:noProof/>
                <w:webHidden/>
              </w:rPr>
              <w:tab/>
            </w:r>
            <w:r w:rsidR="000D1F3E">
              <w:rPr>
                <w:noProof/>
                <w:webHidden/>
              </w:rPr>
              <w:fldChar w:fldCharType="begin"/>
            </w:r>
            <w:r w:rsidR="000D1F3E">
              <w:rPr>
                <w:noProof/>
                <w:webHidden/>
              </w:rPr>
              <w:instrText xml:space="preserve"> PAGEREF _Toc133076251 \h </w:instrText>
            </w:r>
            <w:r w:rsidR="000D1F3E">
              <w:rPr>
                <w:noProof/>
                <w:webHidden/>
              </w:rPr>
            </w:r>
            <w:r w:rsidR="000D1F3E">
              <w:rPr>
                <w:noProof/>
                <w:webHidden/>
              </w:rPr>
              <w:fldChar w:fldCharType="separate"/>
            </w:r>
            <w:r w:rsidR="00CB79DB">
              <w:rPr>
                <w:noProof/>
                <w:webHidden/>
              </w:rPr>
              <w:t>17</w:t>
            </w:r>
            <w:r w:rsidR="000D1F3E">
              <w:rPr>
                <w:noProof/>
                <w:webHidden/>
              </w:rPr>
              <w:fldChar w:fldCharType="end"/>
            </w:r>
          </w:hyperlink>
        </w:p>
        <w:p w14:paraId="7CB658FC" w14:textId="216825DF"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52" w:history="1">
            <w:r w:rsidR="000D1F3E" w:rsidRPr="00D84200">
              <w:rPr>
                <w:rStyle w:val="Hyperlink"/>
                <w:noProof/>
              </w:rPr>
              <w:t>Support Funds can be difficult to maintain</w:t>
            </w:r>
            <w:r w:rsidR="000D1F3E">
              <w:rPr>
                <w:noProof/>
                <w:webHidden/>
              </w:rPr>
              <w:tab/>
            </w:r>
            <w:r w:rsidR="000D1F3E">
              <w:rPr>
                <w:noProof/>
                <w:webHidden/>
              </w:rPr>
              <w:fldChar w:fldCharType="begin"/>
            </w:r>
            <w:r w:rsidR="000D1F3E">
              <w:rPr>
                <w:noProof/>
                <w:webHidden/>
              </w:rPr>
              <w:instrText xml:space="preserve"> PAGEREF _Toc133076252 \h </w:instrText>
            </w:r>
            <w:r w:rsidR="000D1F3E">
              <w:rPr>
                <w:noProof/>
                <w:webHidden/>
              </w:rPr>
            </w:r>
            <w:r w:rsidR="000D1F3E">
              <w:rPr>
                <w:noProof/>
                <w:webHidden/>
              </w:rPr>
              <w:fldChar w:fldCharType="separate"/>
            </w:r>
            <w:r w:rsidR="00CB79DB">
              <w:rPr>
                <w:noProof/>
                <w:webHidden/>
              </w:rPr>
              <w:t>17</w:t>
            </w:r>
            <w:r w:rsidR="000D1F3E">
              <w:rPr>
                <w:noProof/>
                <w:webHidden/>
              </w:rPr>
              <w:fldChar w:fldCharType="end"/>
            </w:r>
          </w:hyperlink>
        </w:p>
        <w:p w14:paraId="7A80A57E" w14:textId="0F55DE76"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53" w:history="1">
            <w:r w:rsidR="000D1F3E" w:rsidRPr="00D84200">
              <w:rPr>
                <w:rStyle w:val="Hyperlink"/>
                <w:noProof/>
              </w:rPr>
              <w:t>Renewing funds</w:t>
            </w:r>
            <w:r w:rsidR="000D1F3E">
              <w:rPr>
                <w:noProof/>
                <w:webHidden/>
              </w:rPr>
              <w:tab/>
            </w:r>
            <w:r w:rsidR="000D1F3E">
              <w:rPr>
                <w:noProof/>
                <w:webHidden/>
              </w:rPr>
              <w:fldChar w:fldCharType="begin"/>
            </w:r>
            <w:r w:rsidR="000D1F3E">
              <w:rPr>
                <w:noProof/>
                <w:webHidden/>
              </w:rPr>
              <w:instrText xml:space="preserve"> PAGEREF _Toc133076253 \h </w:instrText>
            </w:r>
            <w:r w:rsidR="000D1F3E">
              <w:rPr>
                <w:noProof/>
                <w:webHidden/>
              </w:rPr>
            </w:r>
            <w:r w:rsidR="000D1F3E">
              <w:rPr>
                <w:noProof/>
                <w:webHidden/>
              </w:rPr>
              <w:fldChar w:fldCharType="separate"/>
            </w:r>
            <w:r w:rsidR="00CB79DB">
              <w:rPr>
                <w:noProof/>
                <w:webHidden/>
              </w:rPr>
              <w:t>17</w:t>
            </w:r>
            <w:r w:rsidR="000D1F3E">
              <w:rPr>
                <w:noProof/>
                <w:webHidden/>
              </w:rPr>
              <w:fldChar w:fldCharType="end"/>
            </w:r>
          </w:hyperlink>
        </w:p>
        <w:p w14:paraId="3459CCFC" w14:textId="095725C4"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54" w:history="1">
            <w:r w:rsidR="000D1F3E" w:rsidRPr="00D84200">
              <w:rPr>
                <w:rStyle w:val="Hyperlink"/>
                <w:noProof/>
              </w:rPr>
              <w:t>A drop in applications</w:t>
            </w:r>
            <w:r w:rsidR="000D1F3E">
              <w:rPr>
                <w:noProof/>
                <w:webHidden/>
              </w:rPr>
              <w:tab/>
            </w:r>
            <w:r w:rsidR="000D1F3E">
              <w:rPr>
                <w:noProof/>
                <w:webHidden/>
              </w:rPr>
              <w:fldChar w:fldCharType="begin"/>
            </w:r>
            <w:r w:rsidR="000D1F3E">
              <w:rPr>
                <w:noProof/>
                <w:webHidden/>
              </w:rPr>
              <w:instrText xml:space="preserve"> PAGEREF _Toc133076254 \h </w:instrText>
            </w:r>
            <w:r w:rsidR="000D1F3E">
              <w:rPr>
                <w:noProof/>
                <w:webHidden/>
              </w:rPr>
            </w:r>
            <w:r w:rsidR="000D1F3E">
              <w:rPr>
                <w:noProof/>
                <w:webHidden/>
              </w:rPr>
              <w:fldChar w:fldCharType="separate"/>
            </w:r>
            <w:r w:rsidR="00CB79DB">
              <w:rPr>
                <w:noProof/>
                <w:webHidden/>
              </w:rPr>
              <w:t>18</w:t>
            </w:r>
            <w:r w:rsidR="000D1F3E">
              <w:rPr>
                <w:noProof/>
                <w:webHidden/>
              </w:rPr>
              <w:fldChar w:fldCharType="end"/>
            </w:r>
          </w:hyperlink>
        </w:p>
        <w:p w14:paraId="74199CE9" w14:textId="7D7F8B66"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55" w:history="1">
            <w:r w:rsidR="000D1F3E" w:rsidRPr="00D84200">
              <w:rPr>
                <w:rStyle w:val="Hyperlink"/>
                <w:noProof/>
              </w:rPr>
              <w:t>Employing support people</w:t>
            </w:r>
            <w:r w:rsidR="000D1F3E">
              <w:rPr>
                <w:noProof/>
                <w:webHidden/>
              </w:rPr>
              <w:tab/>
            </w:r>
            <w:r w:rsidR="000D1F3E">
              <w:rPr>
                <w:noProof/>
                <w:webHidden/>
              </w:rPr>
              <w:fldChar w:fldCharType="begin"/>
            </w:r>
            <w:r w:rsidR="000D1F3E">
              <w:rPr>
                <w:noProof/>
                <w:webHidden/>
              </w:rPr>
              <w:instrText xml:space="preserve"> PAGEREF _Toc133076255 \h </w:instrText>
            </w:r>
            <w:r w:rsidR="000D1F3E">
              <w:rPr>
                <w:noProof/>
                <w:webHidden/>
              </w:rPr>
            </w:r>
            <w:r w:rsidR="000D1F3E">
              <w:rPr>
                <w:noProof/>
                <w:webHidden/>
              </w:rPr>
              <w:fldChar w:fldCharType="separate"/>
            </w:r>
            <w:r w:rsidR="00CB79DB">
              <w:rPr>
                <w:noProof/>
                <w:webHidden/>
              </w:rPr>
              <w:t>18</w:t>
            </w:r>
            <w:r w:rsidR="000D1F3E">
              <w:rPr>
                <w:noProof/>
                <w:webHidden/>
              </w:rPr>
              <w:fldChar w:fldCharType="end"/>
            </w:r>
          </w:hyperlink>
        </w:p>
        <w:p w14:paraId="15A58DC9" w14:textId="0E49E57C"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56" w:history="1">
            <w:r w:rsidR="000D1F3E" w:rsidRPr="00D84200">
              <w:rPr>
                <w:rStyle w:val="Hyperlink"/>
                <w:noProof/>
              </w:rPr>
              <w:t>Funding</w:t>
            </w:r>
            <w:r w:rsidR="000D1F3E" w:rsidRPr="00D84200">
              <w:rPr>
                <w:rStyle w:val="Hyperlink"/>
                <w:noProof/>
                <w:lang w:val="en-US"/>
              </w:rPr>
              <w:t xml:space="preserve"> caps</w:t>
            </w:r>
            <w:r w:rsidR="000D1F3E">
              <w:rPr>
                <w:noProof/>
                <w:webHidden/>
              </w:rPr>
              <w:tab/>
            </w:r>
            <w:r w:rsidR="000D1F3E">
              <w:rPr>
                <w:noProof/>
                <w:webHidden/>
              </w:rPr>
              <w:fldChar w:fldCharType="begin"/>
            </w:r>
            <w:r w:rsidR="000D1F3E">
              <w:rPr>
                <w:noProof/>
                <w:webHidden/>
              </w:rPr>
              <w:instrText xml:space="preserve"> PAGEREF _Toc133076256 \h </w:instrText>
            </w:r>
            <w:r w:rsidR="000D1F3E">
              <w:rPr>
                <w:noProof/>
                <w:webHidden/>
              </w:rPr>
            </w:r>
            <w:r w:rsidR="000D1F3E">
              <w:rPr>
                <w:noProof/>
                <w:webHidden/>
              </w:rPr>
              <w:fldChar w:fldCharType="separate"/>
            </w:r>
            <w:r w:rsidR="00CB79DB">
              <w:rPr>
                <w:noProof/>
                <w:webHidden/>
              </w:rPr>
              <w:t>19</w:t>
            </w:r>
            <w:r w:rsidR="000D1F3E">
              <w:rPr>
                <w:noProof/>
                <w:webHidden/>
              </w:rPr>
              <w:fldChar w:fldCharType="end"/>
            </w:r>
          </w:hyperlink>
        </w:p>
        <w:p w14:paraId="0B3D044E" w14:textId="3ECD529D"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57" w:history="1">
            <w:r w:rsidR="000D1F3E" w:rsidRPr="00D84200">
              <w:rPr>
                <w:rStyle w:val="Hyperlink"/>
                <w:noProof/>
              </w:rPr>
              <w:t>Support Funds can be inequitable</w:t>
            </w:r>
            <w:r w:rsidR="000D1F3E">
              <w:rPr>
                <w:noProof/>
                <w:webHidden/>
              </w:rPr>
              <w:tab/>
            </w:r>
            <w:r w:rsidR="000D1F3E">
              <w:rPr>
                <w:noProof/>
                <w:webHidden/>
              </w:rPr>
              <w:fldChar w:fldCharType="begin"/>
            </w:r>
            <w:r w:rsidR="000D1F3E">
              <w:rPr>
                <w:noProof/>
                <w:webHidden/>
              </w:rPr>
              <w:instrText xml:space="preserve"> PAGEREF _Toc133076257 \h </w:instrText>
            </w:r>
            <w:r w:rsidR="000D1F3E">
              <w:rPr>
                <w:noProof/>
                <w:webHidden/>
              </w:rPr>
            </w:r>
            <w:r w:rsidR="000D1F3E">
              <w:rPr>
                <w:noProof/>
                <w:webHidden/>
              </w:rPr>
              <w:fldChar w:fldCharType="separate"/>
            </w:r>
            <w:r w:rsidR="00CB79DB">
              <w:rPr>
                <w:noProof/>
                <w:webHidden/>
              </w:rPr>
              <w:t>20</w:t>
            </w:r>
            <w:r w:rsidR="000D1F3E">
              <w:rPr>
                <w:noProof/>
                <w:webHidden/>
              </w:rPr>
              <w:fldChar w:fldCharType="end"/>
            </w:r>
          </w:hyperlink>
        </w:p>
        <w:p w14:paraId="3EDAE539" w14:textId="7141FB16"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58" w:history="1">
            <w:r w:rsidR="000D1F3E" w:rsidRPr="00D84200">
              <w:rPr>
                <w:rStyle w:val="Hyperlink"/>
                <w:noProof/>
              </w:rPr>
              <w:t>Awareness of Support Funds</w:t>
            </w:r>
            <w:r w:rsidR="000D1F3E">
              <w:rPr>
                <w:noProof/>
                <w:webHidden/>
              </w:rPr>
              <w:tab/>
            </w:r>
            <w:r w:rsidR="000D1F3E">
              <w:rPr>
                <w:noProof/>
                <w:webHidden/>
              </w:rPr>
              <w:fldChar w:fldCharType="begin"/>
            </w:r>
            <w:r w:rsidR="000D1F3E">
              <w:rPr>
                <w:noProof/>
                <w:webHidden/>
              </w:rPr>
              <w:instrText xml:space="preserve"> PAGEREF _Toc133076258 \h </w:instrText>
            </w:r>
            <w:r w:rsidR="000D1F3E">
              <w:rPr>
                <w:noProof/>
                <w:webHidden/>
              </w:rPr>
            </w:r>
            <w:r w:rsidR="000D1F3E">
              <w:rPr>
                <w:noProof/>
                <w:webHidden/>
              </w:rPr>
              <w:fldChar w:fldCharType="separate"/>
            </w:r>
            <w:r w:rsidR="00CB79DB">
              <w:rPr>
                <w:noProof/>
                <w:webHidden/>
              </w:rPr>
              <w:t>20</w:t>
            </w:r>
            <w:r w:rsidR="000D1F3E">
              <w:rPr>
                <w:noProof/>
                <w:webHidden/>
              </w:rPr>
              <w:fldChar w:fldCharType="end"/>
            </w:r>
          </w:hyperlink>
        </w:p>
        <w:p w14:paraId="6E98A115" w14:textId="41C431BD"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59" w:history="1">
            <w:r w:rsidR="000D1F3E" w:rsidRPr="00D84200">
              <w:rPr>
                <w:rStyle w:val="Hyperlink"/>
                <w:noProof/>
              </w:rPr>
              <w:t>Access to equipment</w:t>
            </w:r>
            <w:r w:rsidR="000D1F3E">
              <w:rPr>
                <w:noProof/>
                <w:webHidden/>
              </w:rPr>
              <w:tab/>
            </w:r>
            <w:r w:rsidR="000D1F3E">
              <w:rPr>
                <w:noProof/>
                <w:webHidden/>
              </w:rPr>
              <w:fldChar w:fldCharType="begin"/>
            </w:r>
            <w:r w:rsidR="000D1F3E">
              <w:rPr>
                <w:noProof/>
                <w:webHidden/>
              </w:rPr>
              <w:instrText xml:space="preserve"> PAGEREF _Toc133076259 \h </w:instrText>
            </w:r>
            <w:r w:rsidR="000D1F3E">
              <w:rPr>
                <w:noProof/>
                <w:webHidden/>
              </w:rPr>
            </w:r>
            <w:r w:rsidR="000D1F3E">
              <w:rPr>
                <w:noProof/>
                <w:webHidden/>
              </w:rPr>
              <w:fldChar w:fldCharType="separate"/>
            </w:r>
            <w:r w:rsidR="00CB79DB">
              <w:rPr>
                <w:noProof/>
                <w:webHidden/>
              </w:rPr>
              <w:t>21</w:t>
            </w:r>
            <w:r w:rsidR="000D1F3E">
              <w:rPr>
                <w:noProof/>
                <w:webHidden/>
              </w:rPr>
              <w:fldChar w:fldCharType="end"/>
            </w:r>
          </w:hyperlink>
        </w:p>
        <w:p w14:paraId="7068999D" w14:textId="1F6A19F6"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60" w:history="1">
            <w:r w:rsidR="000D1F3E" w:rsidRPr="00D84200">
              <w:rPr>
                <w:rStyle w:val="Hyperlink"/>
                <w:noProof/>
              </w:rPr>
              <w:t>Access to interpreters</w:t>
            </w:r>
            <w:r w:rsidR="000D1F3E">
              <w:rPr>
                <w:noProof/>
                <w:webHidden/>
              </w:rPr>
              <w:tab/>
            </w:r>
            <w:r w:rsidR="000D1F3E">
              <w:rPr>
                <w:noProof/>
                <w:webHidden/>
              </w:rPr>
              <w:fldChar w:fldCharType="begin"/>
            </w:r>
            <w:r w:rsidR="000D1F3E">
              <w:rPr>
                <w:noProof/>
                <w:webHidden/>
              </w:rPr>
              <w:instrText xml:space="preserve"> PAGEREF _Toc133076260 \h </w:instrText>
            </w:r>
            <w:r w:rsidR="000D1F3E">
              <w:rPr>
                <w:noProof/>
                <w:webHidden/>
              </w:rPr>
            </w:r>
            <w:r w:rsidR="000D1F3E">
              <w:rPr>
                <w:noProof/>
                <w:webHidden/>
              </w:rPr>
              <w:fldChar w:fldCharType="separate"/>
            </w:r>
            <w:r w:rsidR="00CB79DB">
              <w:rPr>
                <w:noProof/>
                <w:webHidden/>
              </w:rPr>
              <w:t>21</w:t>
            </w:r>
            <w:r w:rsidR="000D1F3E">
              <w:rPr>
                <w:noProof/>
                <w:webHidden/>
              </w:rPr>
              <w:fldChar w:fldCharType="end"/>
            </w:r>
          </w:hyperlink>
        </w:p>
        <w:p w14:paraId="77DA06F4" w14:textId="7D1A8398"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61" w:history="1">
            <w:r w:rsidR="000D1F3E" w:rsidRPr="00D84200">
              <w:rPr>
                <w:rStyle w:val="Hyperlink"/>
                <w:noProof/>
                <w:lang w:val="en-US"/>
              </w:rPr>
              <w:t xml:space="preserve">Access to offsite </w:t>
            </w:r>
            <w:r w:rsidR="000D1F3E" w:rsidRPr="00D84200">
              <w:rPr>
                <w:rStyle w:val="Hyperlink"/>
                <w:noProof/>
              </w:rPr>
              <w:t>work</w:t>
            </w:r>
            <w:r w:rsidR="000D1F3E" w:rsidRPr="00D84200">
              <w:rPr>
                <w:rStyle w:val="Hyperlink"/>
                <w:noProof/>
                <w:lang w:val="en-US"/>
              </w:rPr>
              <w:t xml:space="preserve"> </w:t>
            </w:r>
            <w:r w:rsidR="000D1F3E" w:rsidRPr="00D84200">
              <w:rPr>
                <w:rStyle w:val="Hyperlink"/>
                <w:noProof/>
              </w:rPr>
              <w:t>events</w:t>
            </w:r>
            <w:r w:rsidR="000D1F3E">
              <w:rPr>
                <w:noProof/>
                <w:webHidden/>
              </w:rPr>
              <w:tab/>
            </w:r>
            <w:r w:rsidR="000D1F3E">
              <w:rPr>
                <w:noProof/>
                <w:webHidden/>
              </w:rPr>
              <w:fldChar w:fldCharType="begin"/>
            </w:r>
            <w:r w:rsidR="000D1F3E">
              <w:rPr>
                <w:noProof/>
                <w:webHidden/>
              </w:rPr>
              <w:instrText xml:space="preserve"> PAGEREF _Toc133076261 \h </w:instrText>
            </w:r>
            <w:r w:rsidR="000D1F3E">
              <w:rPr>
                <w:noProof/>
                <w:webHidden/>
              </w:rPr>
            </w:r>
            <w:r w:rsidR="000D1F3E">
              <w:rPr>
                <w:noProof/>
                <w:webHidden/>
              </w:rPr>
              <w:fldChar w:fldCharType="separate"/>
            </w:r>
            <w:r w:rsidR="00CB79DB">
              <w:rPr>
                <w:noProof/>
                <w:webHidden/>
              </w:rPr>
              <w:t>22</w:t>
            </w:r>
            <w:r w:rsidR="000D1F3E">
              <w:rPr>
                <w:noProof/>
                <w:webHidden/>
              </w:rPr>
              <w:fldChar w:fldCharType="end"/>
            </w:r>
          </w:hyperlink>
        </w:p>
        <w:p w14:paraId="0249C6A4" w14:textId="5059451E"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62" w:history="1">
            <w:r w:rsidR="000D1F3E" w:rsidRPr="00D84200">
              <w:rPr>
                <w:rStyle w:val="Hyperlink"/>
                <w:noProof/>
              </w:rPr>
              <w:t>Impact of inaccessible formats</w:t>
            </w:r>
            <w:r w:rsidR="000D1F3E">
              <w:rPr>
                <w:noProof/>
                <w:webHidden/>
              </w:rPr>
              <w:tab/>
            </w:r>
            <w:r w:rsidR="000D1F3E">
              <w:rPr>
                <w:noProof/>
                <w:webHidden/>
              </w:rPr>
              <w:fldChar w:fldCharType="begin"/>
            </w:r>
            <w:r w:rsidR="000D1F3E">
              <w:rPr>
                <w:noProof/>
                <w:webHidden/>
              </w:rPr>
              <w:instrText xml:space="preserve"> PAGEREF _Toc133076262 \h </w:instrText>
            </w:r>
            <w:r w:rsidR="000D1F3E">
              <w:rPr>
                <w:noProof/>
                <w:webHidden/>
              </w:rPr>
            </w:r>
            <w:r w:rsidR="000D1F3E">
              <w:rPr>
                <w:noProof/>
                <w:webHidden/>
              </w:rPr>
              <w:fldChar w:fldCharType="separate"/>
            </w:r>
            <w:r w:rsidR="00CB79DB">
              <w:rPr>
                <w:noProof/>
                <w:webHidden/>
              </w:rPr>
              <w:t>23</w:t>
            </w:r>
            <w:r w:rsidR="000D1F3E">
              <w:rPr>
                <w:noProof/>
                <w:webHidden/>
              </w:rPr>
              <w:fldChar w:fldCharType="end"/>
            </w:r>
          </w:hyperlink>
        </w:p>
        <w:p w14:paraId="635628C4" w14:textId="7B12DA66"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63" w:history="1">
            <w:r w:rsidR="000D1F3E" w:rsidRPr="00D84200">
              <w:rPr>
                <w:rStyle w:val="Hyperlink"/>
                <w:noProof/>
              </w:rPr>
              <w:t>Ageing out</w:t>
            </w:r>
            <w:r w:rsidR="000D1F3E">
              <w:rPr>
                <w:noProof/>
                <w:webHidden/>
              </w:rPr>
              <w:tab/>
            </w:r>
            <w:r w:rsidR="000D1F3E">
              <w:rPr>
                <w:noProof/>
                <w:webHidden/>
              </w:rPr>
              <w:fldChar w:fldCharType="begin"/>
            </w:r>
            <w:r w:rsidR="000D1F3E">
              <w:rPr>
                <w:noProof/>
                <w:webHidden/>
              </w:rPr>
              <w:instrText xml:space="preserve"> PAGEREF _Toc133076263 \h </w:instrText>
            </w:r>
            <w:r w:rsidR="000D1F3E">
              <w:rPr>
                <w:noProof/>
                <w:webHidden/>
              </w:rPr>
            </w:r>
            <w:r w:rsidR="000D1F3E">
              <w:rPr>
                <w:noProof/>
                <w:webHidden/>
              </w:rPr>
              <w:fldChar w:fldCharType="separate"/>
            </w:r>
            <w:r w:rsidR="00CB79DB">
              <w:rPr>
                <w:noProof/>
                <w:webHidden/>
              </w:rPr>
              <w:t>23</w:t>
            </w:r>
            <w:r w:rsidR="000D1F3E">
              <w:rPr>
                <w:noProof/>
                <w:webHidden/>
              </w:rPr>
              <w:fldChar w:fldCharType="end"/>
            </w:r>
          </w:hyperlink>
        </w:p>
        <w:p w14:paraId="7B66C0F7" w14:textId="5AE9999A"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64" w:history="1">
            <w:r w:rsidR="000D1F3E" w:rsidRPr="00D84200">
              <w:rPr>
                <w:rStyle w:val="Hyperlink"/>
                <w:noProof/>
              </w:rPr>
              <w:t>Disabled people are discouraged from applying for Support Funds</w:t>
            </w:r>
            <w:r w:rsidR="000D1F3E">
              <w:rPr>
                <w:noProof/>
                <w:webHidden/>
              </w:rPr>
              <w:tab/>
            </w:r>
            <w:r w:rsidR="000D1F3E">
              <w:rPr>
                <w:noProof/>
                <w:webHidden/>
              </w:rPr>
              <w:fldChar w:fldCharType="begin"/>
            </w:r>
            <w:r w:rsidR="000D1F3E">
              <w:rPr>
                <w:noProof/>
                <w:webHidden/>
              </w:rPr>
              <w:instrText xml:space="preserve"> PAGEREF _Toc133076264 \h </w:instrText>
            </w:r>
            <w:r w:rsidR="000D1F3E">
              <w:rPr>
                <w:noProof/>
                <w:webHidden/>
              </w:rPr>
            </w:r>
            <w:r w:rsidR="000D1F3E">
              <w:rPr>
                <w:noProof/>
                <w:webHidden/>
              </w:rPr>
              <w:fldChar w:fldCharType="separate"/>
            </w:r>
            <w:r w:rsidR="00CB79DB">
              <w:rPr>
                <w:noProof/>
                <w:webHidden/>
              </w:rPr>
              <w:t>24</w:t>
            </w:r>
            <w:r w:rsidR="000D1F3E">
              <w:rPr>
                <w:noProof/>
                <w:webHidden/>
              </w:rPr>
              <w:fldChar w:fldCharType="end"/>
            </w:r>
          </w:hyperlink>
        </w:p>
        <w:p w14:paraId="3005CBCD" w14:textId="4A5F8F38"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65" w:history="1">
            <w:r w:rsidR="000D1F3E" w:rsidRPr="00D84200">
              <w:rPr>
                <w:rStyle w:val="Hyperlink"/>
                <w:noProof/>
              </w:rPr>
              <w:t>In employment</w:t>
            </w:r>
            <w:r w:rsidR="000D1F3E">
              <w:rPr>
                <w:noProof/>
                <w:webHidden/>
              </w:rPr>
              <w:tab/>
            </w:r>
            <w:r w:rsidR="000D1F3E">
              <w:rPr>
                <w:noProof/>
                <w:webHidden/>
              </w:rPr>
              <w:fldChar w:fldCharType="begin"/>
            </w:r>
            <w:r w:rsidR="000D1F3E">
              <w:rPr>
                <w:noProof/>
                <w:webHidden/>
              </w:rPr>
              <w:instrText xml:space="preserve"> PAGEREF _Toc133076265 \h </w:instrText>
            </w:r>
            <w:r w:rsidR="000D1F3E">
              <w:rPr>
                <w:noProof/>
                <w:webHidden/>
              </w:rPr>
            </w:r>
            <w:r w:rsidR="000D1F3E">
              <w:rPr>
                <w:noProof/>
                <w:webHidden/>
              </w:rPr>
              <w:fldChar w:fldCharType="separate"/>
            </w:r>
            <w:r w:rsidR="00CB79DB">
              <w:rPr>
                <w:noProof/>
                <w:webHidden/>
              </w:rPr>
              <w:t>24</w:t>
            </w:r>
            <w:r w:rsidR="000D1F3E">
              <w:rPr>
                <w:noProof/>
                <w:webHidden/>
              </w:rPr>
              <w:fldChar w:fldCharType="end"/>
            </w:r>
          </w:hyperlink>
        </w:p>
        <w:p w14:paraId="69684BEA" w14:textId="3A26DA6E"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66" w:history="1">
            <w:r w:rsidR="000D1F3E" w:rsidRPr="00D84200">
              <w:rPr>
                <w:rStyle w:val="Hyperlink"/>
                <w:noProof/>
              </w:rPr>
              <w:t>In education</w:t>
            </w:r>
            <w:r w:rsidR="000D1F3E">
              <w:rPr>
                <w:noProof/>
                <w:webHidden/>
              </w:rPr>
              <w:tab/>
            </w:r>
            <w:r w:rsidR="000D1F3E">
              <w:rPr>
                <w:noProof/>
                <w:webHidden/>
              </w:rPr>
              <w:fldChar w:fldCharType="begin"/>
            </w:r>
            <w:r w:rsidR="000D1F3E">
              <w:rPr>
                <w:noProof/>
                <w:webHidden/>
              </w:rPr>
              <w:instrText xml:space="preserve"> PAGEREF _Toc133076266 \h </w:instrText>
            </w:r>
            <w:r w:rsidR="000D1F3E">
              <w:rPr>
                <w:noProof/>
                <w:webHidden/>
              </w:rPr>
            </w:r>
            <w:r w:rsidR="000D1F3E">
              <w:rPr>
                <w:noProof/>
                <w:webHidden/>
              </w:rPr>
              <w:fldChar w:fldCharType="separate"/>
            </w:r>
            <w:r w:rsidR="00CB79DB">
              <w:rPr>
                <w:noProof/>
                <w:webHidden/>
              </w:rPr>
              <w:t>24</w:t>
            </w:r>
            <w:r w:rsidR="000D1F3E">
              <w:rPr>
                <w:noProof/>
                <w:webHidden/>
              </w:rPr>
              <w:fldChar w:fldCharType="end"/>
            </w:r>
          </w:hyperlink>
        </w:p>
        <w:p w14:paraId="6135450B" w14:textId="4C017F5C"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67" w:history="1">
            <w:r w:rsidR="000D1F3E" w:rsidRPr="00D84200">
              <w:rPr>
                <w:rStyle w:val="Hyperlink"/>
                <w:noProof/>
              </w:rPr>
              <w:t>Barriers to funding can impact employment outcomes</w:t>
            </w:r>
            <w:r w:rsidR="000D1F3E">
              <w:rPr>
                <w:noProof/>
                <w:webHidden/>
              </w:rPr>
              <w:tab/>
            </w:r>
            <w:r w:rsidR="000D1F3E">
              <w:rPr>
                <w:noProof/>
                <w:webHidden/>
              </w:rPr>
              <w:fldChar w:fldCharType="begin"/>
            </w:r>
            <w:r w:rsidR="000D1F3E">
              <w:rPr>
                <w:noProof/>
                <w:webHidden/>
              </w:rPr>
              <w:instrText xml:space="preserve"> PAGEREF _Toc133076267 \h </w:instrText>
            </w:r>
            <w:r w:rsidR="000D1F3E">
              <w:rPr>
                <w:noProof/>
                <w:webHidden/>
              </w:rPr>
            </w:r>
            <w:r w:rsidR="000D1F3E">
              <w:rPr>
                <w:noProof/>
                <w:webHidden/>
              </w:rPr>
              <w:fldChar w:fldCharType="separate"/>
            </w:r>
            <w:r w:rsidR="00CB79DB">
              <w:rPr>
                <w:noProof/>
                <w:webHidden/>
              </w:rPr>
              <w:t>25</w:t>
            </w:r>
            <w:r w:rsidR="000D1F3E">
              <w:rPr>
                <w:noProof/>
                <w:webHidden/>
              </w:rPr>
              <w:fldChar w:fldCharType="end"/>
            </w:r>
          </w:hyperlink>
        </w:p>
        <w:p w14:paraId="53A6AC8F" w14:textId="73A32A74"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68" w:history="1">
            <w:r w:rsidR="000D1F3E" w:rsidRPr="00D84200">
              <w:rPr>
                <w:rStyle w:val="Hyperlink"/>
                <w:noProof/>
              </w:rPr>
              <w:t>An Enabling Good Lives approach</w:t>
            </w:r>
            <w:r w:rsidR="000D1F3E">
              <w:rPr>
                <w:noProof/>
                <w:webHidden/>
              </w:rPr>
              <w:tab/>
            </w:r>
            <w:r w:rsidR="000D1F3E">
              <w:rPr>
                <w:noProof/>
                <w:webHidden/>
              </w:rPr>
              <w:fldChar w:fldCharType="begin"/>
            </w:r>
            <w:r w:rsidR="000D1F3E">
              <w:rPr>
                <w:noProof/>
                <w:webHidden/>
              </w:rPr>
              <w:instrText xml:space="preserve"> PAGEREF _Toc133076268 \h </w:instrText>
            </w:r>
            <w:r w:rsidR="000D1F3E">
              <w:rPr>
                <w:noProof/>
                <w:webHidden/>
              </w:rPr>
            </w:r>
            <w:r w:rsidR="000D1F3E">
              <w:rPr>
                <w:noProof/>
                <w:webHidden/>
              </w:rPr>
              <w:fldChar w:fldCharType="separate"/>
            </w:r>
            <w:r w:rsidR="00CB79DB">
              <w:rPr>
                <w:noProof/>
                <w:webHidden/>
              </w:rPr>
              <w:t>25</w:t>
            </w:r>
            <w:r w:rsidR="000D1F3E">
              <w:rPr>
                <w:noProof/>
                <w:webHidden/>
              </w:rPr>
              <w:fldChar w:fldCharType="end"/>
            </w:r>
          </w:hyperlink>
        </w:p>
        <w:p w14:paraId="3C36C390" w14:textId="0D8BA434" w:rsidR="000D1F3E" w:rsidRDefault="00000000">
          <w:pPr>
            <w:pStyle w:val="TOC1"/>
            <w:rPr>
              <w:rFonts w:asciiTheme="minorHAnsi" w:eastAsiaTheme="minorEastAsia" w:hAnsiTheme="minorHAnsi"/>
              <w:noProof/>
              <w:color w:val="auto"/>
              <w:sz w:val="22"/>
              <w:lang w:eastAsia="en-NZ"/>
            </w:rPr>
          </w:pPr>
          <w:hyperlink w:anchor="_Toc133076269" w:history="1">
            <w:r w:rsidR="000D1F3E" w:rsidRPr="00D84200">
              <w:rPr>
                <w:rStyle w:val="Hyperlink"/>
                <w:noProof/>
              </w:rPr>
              <w:t>Conclusion</w:t>
            </w:r>
            <w:r w:rsidR="000D1F3E">
              <w:rPr>
                <w:noProof/>
                <w:webHidden/>
              </w:rPr>
              <w:tab/>
            </w:r>
            <w:r w:rsidR="000D1F3E">
              <w:rPr>
                <w:noProof/>
                <w:webHidden/>
              </w:rPr>
              <w:fldChar w:fldCharType="begin"/>
            </w:r>
            <w:r w:rsidR="000D1F3E">
              <w:rPr>
                <w:noProof/>
                <w:webHidden/>
              </w:rPr>
              <w:instrText xml:space="preserve"> PAGEREF _Toc133076269 \h </w:instrText>
            </w:r>
            <w:r w:rsidR="000D1F3E">
              <w:rPr>
                <w:noProof/>
                <w:webHidden/>
              </w:rPr>
            </w:r>
            <w:r w:rsidR="000D1F3E">
              <w:rPr>
                <w:noProof/>
                <w:webHidden/>
              </w:rPr>
              <w:fldChar w:fldCharType="separate"/>
            </w:r>
            <w:r w:rsidR="00CB79DB">
              <w:rPr>
                <w:noProof/>
                <w:webHidden/>
              </w:rPr>
              <w:t>27</w:t>
            </w:r>
            <w:r w:rsidR="000D1F3E">
              <w:rPr>
                <w:noProof/>
                <w:webHidden/>
              </w:rPr>
              <w:fldChar w:fldCharType="end"/>
            </w:r>
          </w:hyperlink>
        </w:p>
        <w:p w14:paraId="1BF94E72" w14:textId="14208481" w:rsidR="000D1F3E" w:rsidRDefault="00000000">
          <w:pPr>
            <w:pStyle w:val="TOC1"/>
            <w:rPr>
              <w:rFonts w:asciiTheme="minorHAnsi" w:eastAsiaTheme="minorEastAsia" w:hAnsiTheme="minorHAnsi"/>
              <w:noProof/>
              <w:color w:val="auto"/>
              <w:sz w:val="22"/>
              <w:lang w:eastAsia="en-NZ"/>
            </w:rPr>
          </w:pPr>
          <w:hyperlink w:anchor="_Toc133076270" w:history="1">
            <w:r w:rsidR="000D1F3E" w:rsidRPr="00D84200">
              <w:rPr>
                <w:rStyle w:val="Hyperlink"/>
                <w:noProof/>
              </w:rPr>
              <w:t>Recommendations</w:t>
            </w:r>
            <w:r w:rsidR="000D1F3E">
              <w:rPr>
                <w:noProof/>
                <w:webHidden/>
              </w:rPr>
              <w:tab/>
            </w:r>
            <w:r w:rsidR="000D1F3E">
              <w:rPr>
                <w:noProof/>
                <w:webHidden/>
              </w:rPr>
              <w:fldChar w:fldCharType="begin"/>
            </w:r>
            <w:r w:rsidR="000D1F3E">
              <w:rPr>
                <w:noProof/>
                <w:webHidden/>
              </w:rPr>
              <w:instrText xml:space="preserve"> PAGEREF _Toc133076270 \h </w:instrText>
            </w:r>
            <w:r w:rsidR="000D1F3E">
              <w:rPr>
                <w:noProof/>
                <w:webHidden/>
              </w:rPr>
            </w:r>
            <w:r w:rsidR="000D1F3E">
              <w:rPr>
                <w:noProof/>
                <w:webHidden/>
              </w:rPr>
              <w:fldChar w:fldCharType="separate"/>
            </w:r>
            <w:r w:rsidR="00CB79DB">
              <w:rPr>
                <w:noProof/>
                <w:webHidden/>
              </w:rPr>
              <w:t>28</w:t>
            </w:r>
            <w:r w:rsidR="000D1F3E">
              <w:rPr>
                <w:noProof/>
                <w:webHidden/>
              </w:rPr>
              <w:fldChar w:fldCharType="end"/>
            </w:r>
          </w:hyperlink>
        </w:p>
        <w:p w14:paraId="46432ACE" w14:textId="01784C53" w:rsidR="000D1F3E" w:rsidRDefault="00000000">
          <w:pPr>
            <w:pStyle w:val="TOC1"/>
            <w:rPr>
              <w:rFonts w:asciiTheme="minorHAnsi" w:eastAsiaTheme="minorEastAsia" w:hAnsiTheme="minorHAnsi"/>
              <w:noProof/>
              <w:color w:val="auto"/>
              <w:sz w:val="22"/>
              <w:lang w:eastAsia="en-NZ"/>
            </w:rPr>
          </w:pPr>
          <w:hyperlink w:anchor="_Toc133076271" w:history="1">
            <w:r w:rsidR="000D1F3E" w:rsidRPr="00D84200">
              <w:rPr>
                <w:rStyle w:val="Hyperlink"/>
                <w:noProof/>
                <w:lang w:val="en-US"/>
              </w:rPr>
              <w:t>Appendices</w:t>
            </w:r>
            <w:r w:rsidR="000D1F3E">
              <w:rPr>
                <w:noProof/>
                <w:webHidden/>
              </w:rPr>
              <w:tab/>
            </w:r>
            <w:r w:rsidR="000D1F3E">
              <w:rPr>
                <w:noProof/>
                <w:webHidden/>
              </w:rPr>
              <w:fldChar w:fldCharType="begin"/>
            </w:r>
            <w:r w:rsidR="000D1F3E">
              <w:rPr>
                <w:noProof/>
                <w:webHidden/>
              </w:rPr>
              <w:instrText xml:space="preserve"> PAGEREF _Toc133076271 \h </w:instrText>
            </w:r>
            <w:r w:rsidR="000D1F3E">
              <w:rPr>
                <w:noProof/>
                <w:webHidden/>
              </w:rPr>
            </w:r>
            <w:r w:rsidR="000D1F3E">
              <w:rPr>
                <w:noProof/>
                <w:webHidden/>
              </w:rPr>
              <w:fldChar w:fldCharType="separate"/>
            </w:r>
            <w:r w:rsidR="00CB79DB">
              <w:rPr>
                <w:noProof/>
                <w:webHidden/>
              </w:rPr>
              <w:t>29</w:t>
            </w:r>
            <w:r w:rsidR="000D1F3E">
              <w:rPr>
                <w:noProof/>
                <w:webHidden/>
              </w:rPr>
              <w:fldChar w:fldCharType="end"/>
            </w:r>
          </w:hyperlink>
        </w:p>
        <w:p w14:paraId="19CDEDF1" w14:textId="5B0DE964"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72" w:history="1">
            <w:r w:rsidR="000D1F3E" w:rsidRPr="00D84200">
              <w:rPr>
                <w:rStyle w:val="Hyperlink"/>
                <w:noProof/>
              </w:rPr>
              <w:t>Appendix A: MSD support available</w:t>
            </w:r>
            <w:r w:rsidR="000D1F3E">
              <w:rPr>
                <w:noProof/>
                <w:webHidden/>
              </w:rPr>
              <w:tab/>
            </w:r>
            <w:r w:rsidR="000D1F3E">
              <w:rPr>
                <w:noProof/>
                <w:webHidden/>
              </w:rPr>
              <w:fldChar w:fldCharType="begin"/>
            </w:r>
            <w:r w:rsidR="000D1F3E">
              <w:rPr>
                <w:noProof/>
                <w:webHidden/>
              </w:rPr>
              <w:instrText xml:space="preserve"> PAGEREF _Toc133076272 \h </w:instrText>
            </w:r>
            <w:r w:rsidR="000D1F3E">
              <w:rPr>
                <w:noProof/>
                <w:webHidden/>
              </w:rPr>
            </w:r>
            <w:r w:rsidR="000D1F3E">
              <w:rPr>
                <w:noProof/>
                <w:webHidden/>
              </w:rPr>
              <w:fldChar w:fldCharType="separate"/>
            </w:r>
            <w:r w:rsidR="00CB79DB">
              <w:rPr>
                <w:noProof/>
                <w:webHidden/>
              </w:rPr>
              <w:t>29</w:t>
            </w:r>
            <w:r w:rsidR="000D1F3E">
              <w:rPr>
                <w:noProof/>
                <w:webHidden/>
              </w:rPr>
              <w:fldChar w:fldCharType="end"/>
            </w:r>
          </w:hyperlink>
        </w:p>
        <w:p w14:paraId="0C2DE682" w14:textId="32DBD027"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73" w:history="1">
            <w:r w:rsidR="000D1F3E" w:rsidRPr="00D84200">
              <w:rPr>
                <w:rStyle w:val="Hyperlink"/>
                <w:noProof/>
              </w:rPr>
              <w:t>Support Fund assistance categories</w:t>
            </w:r>
            <w:r w:rsidR="000D1F3E">
              <w:rPr>
                <w:noProof/>
                <w:webHidden/>
              </w:rPr>
              <w:tab/>
            </w:r>
            <w:r w:rsidR="000D1F3E">
              <w:rPr>
                <w:noProof/>
                <w:webHidden/>
              </w:rPr>
              <w:fldChar w:fldCharType="begin"/>
            </w:r>
            <w:r w:rsidR="000D1F3E">
              <w:rPr>
                <w:noProof/>
                <w:webHidden/>
              </w:rPr>
              <w:instrText xml:space="preserve"> PAGEREF _Toc133076273 \h </w:instrText>
            </w:r>
            <w:r w:rsidR="000D1F3E">
              <w:rPr>
                <w:noProof/>
                <w:webHidden/>
              </w:rPr>
            </w:r>
            <w:r w:rsidR="000D1F3E">
              <w:rPr>
                <w:noProof/>
                <w:webHidden/>
              </w:rPr>
              <w:fldChar w:fldCharType="separate"/>
            </w:r>
            <w:r w:rsidR="00CB79DB">
              <w:rPr>
                <w:noProof/>
                <w:webHidden/>
              </w:rPr>
              <w:t>29</w:t>
            </w:r>
            <w:r w:rsidR="000D1F3E">
              <w:rPr>
                <w:noProof/>
                <w:webHidden/>
              </w:rPr>
              <w:fldChar w:fldCharType="end"/>
            </w:r>
          </w:hyperlink>
        </w:p>
        <w:p w14:paraId="57F0C64B" w14:textId="1C47F0F9"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74" w:history="1">
            <w:r w:rsidR="000D1F3E" w:rsidRPr="00D84200">
              <w:rPr>
                <w:rStyle w:val="Hyperlink"/>
                <w:noProof/>
              </w:rPr>
              <w:t>Modification grant</w:t>
            </w:r>
            <w:r w:rsidR="000D1F3E">
              <w:rPr>
                <w:noProof/>
                <w:webHidden/>
              </w:rPr>
              <w:tab/>
            </w:r>
            <w:r w:rsidR="000D1F3E">
              <w:rPr>
                <w:noProof/>
                <w:webHidden/>
              </w:rPr>
              <w:fldChar w:fldCharType="begin"/>
            </w:r>
            <w:r w:rsidR="000D1F3E">
              <w:rPr>
                <w:noProof/>
                <w:webHidden/>
              </w:rPr>
              <w:instrText xml:space="preserve"> PAGEREF _Toc133076274 \h </w:instrText>
            </w:r>
            <w:r w:rsidR="000D1F3E">
              <w:rPr>
                <w:noProof/>
                <w:webHidden/>
              </w:rPr>
            </w:r>
            <w:r w:rsidR="000D1F3E">
              <w:rPr>
                <w:noProof/>
                <w:webHidden/>
              </w:rPr>
              <w:fldChar w:fldCharType="separate"/>
            </w:r>
            <w:r w:rsidR="00CB79DB">
              <w:rPr>
                <w:noProof/>
                <w:webHidden/>
              </w:rPr>
              <w:t>30</w:t>
            </w:r>
            <w:r w:rsidR="000D1F3E">
              <w:rPr>
                <w:noProof/>
                <w:webHidden/>
              </w:rPr>
              <w:fldChar w:fldCharType="end"/>
            </w:r>
          </w:hyperlink>
        </w:p>
        <w:p w14:paraId="4AF40682" w14:textId="4BC38F1D"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75" w:history="1">
            <w:r w:rsidR="000D1F3E" w:rsidRPr="00D84200">
              <w:rPr>
                <w:rStyle w:val="Hyperlink"/>
                <w:noProof/>
              </w:rPr>
              <w:t>MSD programmes</w:t>
            </w:r>
            <w:r w:rsidR="000D1F3E">
              <w:rPr>
                <w:noProof/>
                <w:webHidden/>
              </w:rPr>
              <w:tab/>
            </w:r>
            <w:r w:rsidR="000D1F3E">
              <w:rPr>
                <w:noProof/>
                <w:webHidden/>
              </w:rPr>
              <w:fldChar w:fldCharType="begin"/>
            </w:r>
            <w:r w:rsidR="000D1F3E">
              <w:rPr>
                <w:noProof/>
                <w:webHidden/>
              </w:rPr>
              <w:instrText xml:space="preserve"> PAGEREF _Toc133076275 \h </w:instrText>
            </w:r>
            <w:r w:rsidR="000D1F3E">
              <w:rPr>
                <w:noProof/>
                <w:webHidden/>
              </w:rPr>
            </w:r>
            <w:r w:rsidR="000D1F3E">
              <w:rPr>
                <w:noProof/>
                <w:webHidden/>
              </w:rPr>
              <w:fldChar w:fldCharType="separate"/>
            </w:r>
            <w:r w:rsidR="00CB79DB">
              <w:rPr>
                <w:noProof/>
                <w:webHidden/>
              </w:rPr>
              <w:t>30</w:t>
            </w:r>
            <w:r w:rsidR="000D1F3E">
              <w:rPr>
                <w:noProof/>
                <w:webHidden/>
              </w:rPr>
              <w:fldChar w:fldCharType="end"/>
            </w:r>
          </w:hyperlink>
        </w:p>
        <w:p w14:paraId="0EAA8C36" w14:textId="0C51E0A3"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76" w:history="1">
            <w:r w:rsidR="000D1F3E" w:rsidRPr="00D84200">
              <w:rPr>
                <w:rStyle w:val="Hyperlink"/>
                <w:noProof/>
              </w:rPr>
              <w:t>Productivity allowance</w:t>
            </w:r>
            <w:r w:rsidR="000D1F3E">
              <w:rPr>
                <w:noProof/>
                <w:webHidden/>
              </w:rPr>
              <w:tab/>
            </w:r>
            <w:r w:rsidR="000D1F3E">
              <w:rPr>
                <w:noProof/>
                <w:webHidden/>
              </w:rPr>
              <w:fldChar w:fldCharType="begin"/>
            </w:r>
            <w:r w:rsidR="000D1F3E">
              <w:rPr>
                <w:noProof/>
                <w:webHidden/>
              </w:rPr>
              <w:instrText xml:space="preserve"> PAGEREF _Toc133076276 \h </w:instrText>
            </w:r>
            <w:r w:rsidR="000D1F3E">
              <w:rPr>
                <w:noProof/>
                <w:webHidden/>
              </w:rPr>
            </w:r>
            <w:r w:rsidR="000D1F3E">
              <w:rPr>
                <w:noProof/>
                <w:webHidden/>
              </w:rPr>
              <w:fldChar w:fldCharType="separate"/>
            </w:r>
            <w:r w:rsidR="00CB79DB">
              <w:rPr>
                <w:noProof/>
                <w:webHidden/>
              </w:rPr>
              <w:t>31</w:t>
            </w:r>
            <w:r w:rsidR="000D1F3E">
              <w:rPr>
                <w:noProof/>
                <w:webHidden/>
              </w:rPr>
              <w:fldChar w:fldCharType="end"/>
            </w:r>
          </w:hyperlink>
        </w:p>
        <w:p w14:paraId="3FD1A512" w14:textId="3882DE2E"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77" w:history="1">
            <w:r w:rsidR="000D1F3E" w:rsidRPr="00D84200">
              <w:rPr>
                <w:rStyle w:val="Hyperlink"/>
                <w:noProof/>
              </w:rPr>
              <w:t>Appendix B: Data on Support Funds (2021)</w:t>
            </w:r>
            <w:r w:rsidR="000D1F3E">
              <w:rPr>
                <w:noProof/>
                <w:webHidden/>
              </w:rPr>
              <w:tab/>
            </w:r>
            <w:r w:rsidR="000D1F3E">
              <w:rPr>
                <w:noProof/>
                <w:webHidden/>
              </w:rPr>
              <w:fldChar w:fldCharType="begin"/>
            </w:r>
            <w:r w:rsidR="000D1F3E">
              <w:rPr>
                <w:noProof/>
                <w:webHidden/>
              </w:rPr>
              <w:instrText xml:space="preserve"> PAGEREF _Toc133076277 \h </w:instrText>
            </w:r>
            <w:r w:rsidR="000D1F3E">
              <w:rPr>
                <w:noProof/>
                <w:webHidden/>
              </w:rPr>
            </w:r>
            <w:r w:rsidR="000D1F3E">
              <w:rPr>
                <w:noProof/>
                <w:webHidden/>
              </w:rPr>
              <w:fldChar w:fldCharType="separate"/>
            </w:r>
            <w:r w:rsidR="00CB79DB">
              <w:rPr>
                <w:noProof/>
                <w:webHidden/>
              </w:rPr>
              <w:t>32</w:t>
            </w:r>
            <w:r w:rsidR="000D1F3E">
              <w:rPr>
                <w:noProof/>
                <w:webHidden/>
              </w:rPr>
              <w:fldChar w:fldCharType="end"/>
            </w:r>
          </w:hyperlink>
        </w:p>
        <w:p w14:paraId="68B678E1" w14:textId="7EFCFD52"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78" w:history="1">
            <w:r w:rsidR="000D1F3E" w:rsidRPr="00D84200">
              <w:rPr>
                <w:rStyle w:val="Hyperlink"/>
                <w:noProof/>
              </w:rPr>
              <w:t>Parliamentary Written Question 16187 (2021)</w:t>
            </w:r>
            <w:r w:rsidR="000D1F3E">
              <w:rPr>
                <w:noProof/>
                <w:webHidden/>
              </w:rPr>
              <w:tab/>
            </w:r>
            <w:r w:rsidR="000D1F3E">
              <w:rPr>
                <w:noProof/>
                <w:webHidden/>
              </w:rPr>
              <w:fldChar w:fldCharType="begin"/>
            </w:r>
            <w:r w:rsidR="000D1F3E">
              <w:rPr>
                <w:noProof/>
                <w:webHidden/>
              </w:rPr>
              <w:instrText xml:space="preserve"> PAGEREF _Toc133076278 \h </w:instrText>
            </w:r>
            <w:r w:rsidR="000D1F3E">
              <w:rPr>
                <w:noProof/>
                <w:webHidden/>
              </w:rPr>
            </w:r>
            <w:r w:rsidR="000D1F3E">
              <w:rPr>
                <w:noProof/>
                <w:webHidden/>
              </w:rPr>
              <w:fldChar w:fldCharType="separate"/>
            </w:r>
            <w:r w:rsidR="00CB79DB">
              <w:rPr>
                <w:noProof/>
                <w:webHidden/>
              </w:rPr>
              <w:t>32</w:t>
            </w:r>
            <w:r w:rsidR="000D1F3E">
              <w:rPr>
                <w:noProof/>
                <w:webHidden/>
              </w:rPr>
              <w:fldChar w:fldCharType="end"/>
            </w:r>
          </w:hyperlink>
        </w:p>
        <w:p w14:paraId="3B484BAC" w14:textId="72DD896E"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79" w:history="1">
            <w:r w:rsidR="000D1F3E" w:rsidRPr="00D84200">
              <w:rPr>
                <w:rStyle w:val="Hyperlink"/>
                <w:noProof/>
              </w:rPr>
              <w:t>Parliamentary Written Question 16186 (2021)</w:t>
            </w:r>
            <w:r w:rsidR="000D1F3E">
              <w:rPr>
                <w:noProof/>
                <w:webHidden/>
              </w:rPr>
              <w:tab/>
            </w:r>
            <w:r w:rsidR="000D1F3E">
              <w:rPr>
                <w:noProof/>
                <w:webHidden/>
              </w:rPr>
              <w:fldChar w:fldCharType="begin"/>
            </w:r>
            <w:r w:rsidR="000D1F3E">
              <w:rPr>
                <w:noProof/>
                <w:webHidden/>
              </w:rPr>
              <w:instrText xml:space="preserve"> PAGEREF _Toc133076279 \h </w:instrText>
            </w:r>
            <w:r w:rsidR="000D1F3E">
              <w:rPr>
                <w:noProof/>
                <w:webHidden/>
              </w:rPr>
            </w:r>
            <w:r w:rsidR="000D1F3E">
              <w:rPr>
                <w:noProof/>
                <w:webHidden/>
              </w:rPr>
              <w:fldChar w:fldCharType="separate"/>
            </w:r>
            <w:r w:rsidR="00CB79DB">
              <w:rPr>
                <w:noProof/>
                <w:webHidden/>
              </w:rPr>
              <w:t>33</w:t>
            </w:r>
            <w:r w:rsidR="000D1F3E">
              <w:rPr>
                <w:noProof/>
                <w:webHidden/>
              </w:rPr>
              <w:fldChar w:fldCharType="end"/>
            </w:r>
          </w:hyperlink>
        </w:p>
        <w:p w14:paraId="5F8BC998" w14:textId="4A6658A8"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80" w:history="1">
            <w:r w:rsidR="000D1F3E" w:rsidRPr="00D84200">
              <w:rPr>
                <w:rStyle w:val="Hyperlink"/>
                <w:noProof/>
              </w:rPr>
              <w:t>Parliamentary Written Question 26088 (2021)</w:t>
            </w:r>
            <w:r w:rsidR="000D1F3E">
              <w:rPr>
                <w:noProof/>
                <w:webHidden/>
              </w:rPr>
              <w:tab/>
            </w:r>
            <w:r w:rsidR="000D1F3E">
              <w:rPr>
                <w:noProof/>
                <w:webHidden/>
              </w:rPr>
              <w:fldChar w:fldCharType="begin"/>
            </w:r>
            <w:r w:rsidR="000D1F3E">
              <w:rPr>
                <w:noProof/>
                <w:webHidden/>
              </w:rPr>
              <w:instrText xml:space="preserve"> PAGEREF _Toc133076280 \h </w:instrText>
            </w:r>
            <w:r w:rsidR="000D1F3E">
              <w:rPr>
                <w:noProof/>
                <w:webHidden/>
              </w:rPr>
            </w:r>
            <w:r w:rsidR="000D1F3E">
              <w:rPr>
                <w:noProof/>
                <w:webHidden/>
              </w:rPr>
              <w:fldChar w:fldCharType="separate"/>
            </w:r>
            <w:r w:rsidR="00CB79DB">
              <w:rPr>
                <w:noProof/>
                <w:webHidden/>
              </w:rPr>
              <w:t>33</w:t>
            </w:r>
            <w:r w:rsidR="000D1F3E">
              <w:rPr>
                <w:noProof/>
                <w:webHidden/>
              </w:rPr>
              <w:fldChar w:fldCharType="end"/>
            </w:r>
          </w:hyperlink>
        </w:p>
        <w:p w14:paraId="10C1AA55" w14:textId="3F2F976F"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81" w:history="1">
            <w:r w:rsidR="000D1F3E" w:rsidRPr="00D84200">
              <w:rPr>
                <w:rStyle w:val="Hyperlink"/>
                <w:noProof/>
              </w:rPr>
              <w:t>Parliamentary Written Question 26089 (2021)</w:t>
            </w:r>
            <w:r w:rsidR="000D1F3E">
              <w:rPr>
                <w:noProof/>
                <w:webHidden/>
              </w:rPr>
              <w:tab/>
            </w:r>
            <w:r w:rsidR="000D1F3E">
              <w:rPr>
                <w:noProof/>
                <w:webHidden/>
              </w:rPr>
              <w:fldChar w:fldCharType="begin"/>
            </w:r>
            <w:r w:rsidR="000D1F3E">
              <w:rPr>
                <w:noProof/>
                <w:webHidden/>
              </w:rPr>
              <w:instrText xml:space="preserve"> PAGEREF _Toc133076281 \h </w:instrText>
            </w:r>
            <w:r w:rsidR="000D1F3E">
              <w:rPr>
                <w:noProof/>
                <w:webHidden/>
              </w:rPr>
            </w:r>
            <w:r w:rsidR="000D1F3E">
              <w:rPr>
                <w:noProof/>
                <w:webHidden/>
              </w:rPr>
              <w:fldChar w:fldCharType="separate"/>
            </w:r>
            <w:r w:rsidR="00CB79DB">
              <w:rPr>
                <w:noProof/>
                <w:webHidden/>
              </w:rPr>
              <w:t>34</w:t>
            </w:r>
            <w:r w:rsidR="000D1F3E">
              <w:rPr>
                <w:noProof/>
                <w:webHidden/>
              </w:rPr>
              <w:fldChar w:fldCharType="end"/>
            </w:r>
          </w:hyperlink>
        </w:p>
        <w:p w14:paraId="70B037BF" w14:textId="3AFBAF99"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82" w:history="1">
            <w:r w:rsidR="000D1F3E" w:rsidRPr="00D84200">
              <w:rPr>
                <w:rStyle w:val="Hyperlink"/>
                <w:noProof/>
              </w:rPr>
              <w:t xml:space="preserve">Parliamentary Written Question </w:t>
            </w:r>
            <w:r w:rsidR="000D1F3E" w:rsidRPr="00D84200">
              <w:rPr>
                <w:rStyle w:val="Hyperlink"/>
                <w:bCs/>
                <w:noProof/>
              </w:rPr>
              <w:t>26097 (2021)</w:t>
            </w:r>
            <w:r w:rsidR="000D1F3E">
              <w:rPr>
                <w:noProof/>
                <w:webHidden/>
              </w:rPr>
              <w:tab/>
            </w:r>
            <w:r w:rsidR="000D1F3E">
              <w:rPr>
                <w:noProof/>
                <w:webHidden/>
              </w:rPr>
              <w:fldChar w:fldCharType="begin"/>
            </w:r>
            <w:r w:rsidR="000D1F3E">
              <w:rPr>
                <w:noProof/>
                <w:webHidden/>
              </w:rPr>
              <w:instrText xml:space="preserve"> PAGEREF _Toc133076282 \h </w:instrText>
            </w:r>
            <w:r w:rsidR="000D1F3E">
              <w:rPr>
                <w:noProof/>
                <w:webHidden/>
              </w:rPr>
            </w:r>
            <w:r w:rsidR="000D1F3E">
              <w:rPr>
                <w:noProof/>
                <w:webHidden/>
              </w:rPr>
              <w:fldChar w:fldCharType="separate"/>
            </w:r>
            <w:r w:rsidR="00CB79DB">
              <w:rPr>
                <w:noProof/>
                <w:webHidden/>
              </w:rPr>
              <w:t>34</w:t>
            </w:r>
            <w:r w:rsidR="000D1F3E">
              <w:rPr>
                <w:noProof/>
                <w:webHidden/>
              </w:rPr>
              <w:fldChar w:fldCharType="end"/>
            </w:r>
          </w:hyperlink>
        </w:p>
        <w:p w14:paraId="3357956C" w14:textId="756D6A50"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83" w:history="1">
            <w:r w:rsidR="000D1F3E" w:rsidRPr="00D84200">
              <w:rPr>
                <w:rStyle w:val="Hyperlink"/>
                <w:noProof/>
              </w:rPr>
              <w:t>Parliamentary Written Question 26098 (2021)</w:t>
            </w:r>
            <w:r w:rsidR="000D1F3E">
              <w:rPr>
                <w:noProof/>
                <w:webHidden/>
              </w:rPr>
              <w:tab/>
            </w:r>
            <w:r w:rsidR="000D1F3E">
              <w:rPr>
                <w:noProof/>
                <w:webHidden/>
              </w:rPr>
              <w:fldChar w:fldCharType="begin"/>
            </w:r>
            <w:r w:rsidR="000D1F3E">
              <w:rPr>
                <w:noProof/>
                <w:webHidden/>
              </w:rPr>
              <w:instrText xml:space="preserve"> PAGEREF _Toc133076283 \h </w:instrText>
            </w:r>
            <w:r w:rsidR="000D1F3E">
              <w:rPr>
                <w:noProof/>
                <w:webHidden/>
              </w:rPr>
            </w:r>
            <w:r w:rsidR="000D1F3E">
              <w:rPr>
                <w:noProof/>
                <w:webHidden/>
              </w:rPr>
              <w:fldChar w:fldCharType="separate"/>
            </w:r>
            <w:r w:rsidR="00CB79DB">
              <w:rPr>
                <w:noProof/>
                <w:webHidden/>
              </w:rPr>
              <w:t>35</w:t>
            </w:r>
            <w:r w:rsidR="000D1F3E">
              <w:rPr>
                <w:noProof/>
                <w:webHidden/>
              </w:rPr>
              <w:fldChar w:fldCharType="end"/>
            </w:r>
          </w:hyperlink>
        </w:p>
        <w:p w14:paraId="420C0D9A" w14:textId="359EAB02"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84" w:history="1">
            <w:r w:rsidR="000D1F3E" w:rsidRPr="00D84200">
              <w:rPr>
                <w:rStyle w:val="Hyperlink"/>
                <w:noProof/>
              </w:rPr>
              <w:t>Appendix C: Data on Support Funds (2022)</w:t>
            </w:r>
            <w:r w:rsidR="000D1F3E">
              <w:rPr>
                <w:noProof/>
                <w:webHidden/>
              </w:rPr>
              <w:tab/>
            </w:r>
            <w:r w:rsidR="000D1F3E">
              <w:rPr>
                <w:noProof/>
                <w:webHidden/>
              </w:rPr>
              <w:fldChar w:fldCharType="begin"/>
            </w:r>
            <w:r w:rsidR="000D1F3E">
              <w:rPr>
                <w:noProof/>
                <w:webHidden/>
              </w:rPr>
              <w:instrText xml:space="preserve"> PAGEREF _Toc133076284 \h </w:instrText>
            </w:r>
            <w:r w:rsidR="000D1F3E">
              <w:rPr>
                <w:noProof/>
                <w:webHidden/>
              </w:rPr>
            </w:r>
            <w:r w:rsidR="000D1F3E">
              <w:rPr>
                <w:noProof/>
                <w:webHidden/>
              </w:rPr>
              <w:fldChar w:fldCharType="separate"/>
            </w:r>
            <w:r w:rsidR="00CB79DB">
              <w:rPr>
                <w:noProof/>
                <w:webHidden/>
              </w:rPr>
              <w:t>36</w:t>
            </w:r>
            <w:r w:rsidR="000D1F3E">
              <w:rPr>
                <w:noProof/>
                <w:webHidden/>
              </w:rPr>
              <w:fldChar w:fldCharType="end"/>
            </w:r>
          </w:hyperlink>
        </w:p>
        <w:p w14:paraId="63729DB7" w14:textId="36CDB863"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85" w:history="1">
            <w:r w:rsidR="000D1F3E" w:rsidRPr="00D84200">
              <w:rPr>
                <w:rStyle w:val="Hyperlink"/>
                <w:noProof/>
              </w:rPr>
              <w:t>Parliamentary Written Question 17438 (2022)</w:t>
            </w:r>
            <w:r w:rsidR="000D1F3E">
              <w:rPr>
                <w:noProof/>
                <w:webHidden/>
              </w:rPr>
              <w:tab/>
            </w:r>
            <w:r w:rsidR="000D1F3E">
              <w:rPr>
                <w:noProof/>
                <w:webHidden/>
              </w:rPr>
              <w:fldChar w:fldCharType="begin"/>
            </w:r>
            <w:r w:rsidR="000D1F3E">
              <w:rPr>
                <w:noProof/>
                <w:webHidden/>
              </w:rPr>
              <w:instrText xml:space="preserve"> PAGEREF _Toc133076285 \h </w:instrText>
            </w:r>
            <w:r w:rsidR="000D1F3E">
              <w:rPr>
                <w:noProof/>
                <w:webHidden/>
              </w:rPr>
            </w:r>
            <w:r w:rsidR="000D1F3E">
              <w:rPr>
                <w:noProof/>
                <w:webHidden/>
              </w:rPr>
              <w:fldChar w:fldCharType="separate"/>
            </w:r>
            <w:r w:rsidR="00CB79DB">
              <w:rPr>
                <w:noProof/>
                <w:webHidden/>
              </w:rPr>
              <w:t>36</w:t>
            </w:r>
            <w:r w:rsidR="000D1F3E">
              <w:rPr>
                <w:noProof/>
                <w:webHidden/>
              </w:rPr>
              <w:fldChar w:fldCharType="end"/>
            </w:r>
          </w:hyperlink>
        </w:p>
        <w:p w14:paraId="3F196E57" w14:textId="415AF275"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86" w:history="1">
            <w:r w:rsidR="000D1F3E" w:rsidRPr="00D84200">
              <w:rPr>
                <w:rStyle w:val="Hyperlink"/>
                <w:noProof/>
              </w:rPr>
              <w:t>Parliamentary Written Question 17439 (2022)</w:t>
            </w:r>
            <w:r w:rsidR="000D1F3E">
              <w:rPr>
                <w:noProof/>
                <w:webHidden/>
              </w:rPr>
              <w:tab/>
            </w:r>
            <w:r w:rsidR="000D1F3E">
              <w:rPr>
                <w:noProof/>
                <w:webHidden/>
              </w:rPr>
              <w:fldChar w:fldCharType="begin"/>
            </w:r>
            <w:r w:rsidR="000D1F3E">
              <w:rPr>
                <w:noProof/>
                <w:webHidden/>
              </w:rPr>
              <w:instrText xml:space="preserve"> PAGEREF _Toc133076286 \h </w:instrText>
            </w:r>
            <w:r w:rsidR="000D1F3E">
              <w:rPr>
                <w:noProof/>
                <w:webHidden/>
              </w:rPr>
            </w:r>
            <w:r w:rsidR="000D1F3E">
              <w:rPr>
                <w:noProof/>
                <w:webHidden/>
              </w:rPr>
              <w:fldChar w:fldCharType="separate"/>
            </w:r>
            <w:r w:rsidR="00CB79DB">
              <w:rPr>
                <w:noProof/>
                <w:webHidden/>
              </w:rPr>
              <w:t>37</w:t>
            </w:r>
            <w:r w:rsidR="000D1F3E">
              <w:rPr>
                <w:noProof/>
                <w:webHidden/>
              </w:rPr>
              <w:fldChar w:fldCharType="end"/>
            </w:r>
          </w:hyperlink>
        </w:p>
        <w:p w14:paraId="4DAAD8EB" w14:textId="77B3C0D0"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87" w:history="1">
            <w:r w:rsidR="000D1F3E" w:rsidRPr="00D84200">
              <w:rPr>
                <w:rStyle w:val="Hyperlink"/>
                <w:noProof/>
              </w:rPr>
              <w:t>Parliamentary Written Question 17440 (2022)</w:t>
            </w:r>
            <w:r w:rsidR="000D1F3E">
              <w:rPr>
                <w:noProof/>
                <w:webHidden/>
              </w:rPr>
              <w:tab/>
            </w:r>
            <w:r w:rsidR="000D1F3E">
              <w:rPr>
                <w:noProof/>
                <w:webHidden/>
              </w:rPr>
              <w:fldChar w:fldCharType="begin"/>
            </w:r>
            <w:r w:rsidR="000D1F3E">
              <w:rPr>
                <w:noProof/>
                <w:webHidden/>
              </w:rPr>
              <w:instrText xml:space="preserve"> PAGEREF _Toc133076287 \h </w:instrText>
            </w:r>
            <w:r w:rsidR="000D1F3E">
              <w:rPr>
                <w:noProof/>
                <w:webHidden/>
              </w:rPr>
            </w:r>
            <w:r w:rsidR="000D1F3E">
              <w:rPr>
                <w:noProof/>
                <w:webHidden/>
              </w:rPr>
              <w:fldChar w:fldCharType="separate"/>
            </w:r>
            <w:r w:rsidR="00CB79DB">
              <w:rPr>
                <w:noProof/>
                <w:webHidden/>
              </w:rPr>
              <w:t>37</w:t>
            </w:r>
            <w:r w:rsidR="000D1F3E">
              <w:rPr>
                <w:noProof/>
                <w:webHidden/>
              </w:rPr>
              <w:fldChar w:fldCharType="end"/>
            </w:r>
          </w:hyperlink>
        </w:p>
        <w:p w14:paraId="2E509CFE" w14:textId="7AAA423D"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88" w:history="1">
            <w:r w:rsidR="000D1F3E" w:rsidRPr="00D84200">
              <w:rPr>
                <w:rStyle w:val="Hyperlink"/>
                <w:noProof/>
              </w:rPr>
              <w:t>Parliamentary Written Question 17448 (2022)</w:t>
            </w:r>
            <w:r w:rsidR="000D1F3E">
              <w:rPr>
                <w:noProof/>
                <w:webHidden/>
              </w:rPr>
              <w:tab/>
            </w:r>
            <w:r w:rsidR="000D1F3E">
              <w:rPr>
                <w:noProof/>
                <w:webHidden/>
              </w:rPr>
              <w:fldChar w:fldCharType="begin"/>
            </w:r>
            <w:r w:rsidR="000D1F3E">
              <w:rPr>
                <w:noProof/>
                <w:webHidden/>
              </w:rPr>
              <w:instrText xml:space="preserve"> PAGEREF _Toc133076288 \h </w:instrText>
            </w:r>
            <w:r w:rsidR="000D1F3E">
              <w:rPr>
                <w:noProof/>
                <w:webHidden/>
              </w:rPr>
            </w:r>
            <w:r w:rsidR="000D1F3E">
              <w:rPr>
                <w:noProof/>
                <w:webHidden/>
              </w:rPr>
              <w:fldChar w:fldCharType="separate"/>
            </w:r>
            <w:r w:rsidR="00CB79DB">
              <w:rPr>
                <w:noProof/>
                <w:webHidden/>
              </w:rPr>
              <w:t>38</w:t>
            </w:r>
            <w:r w:rsidR="000D1F3E">
              <w:rPr>
                <w:noProof/>
                <w:webHidden/>
              </w:rPr>
              <w:fldChar w:fldCharType="end"/>
            </w:r>
          </w:hyperlink>
        </w:p>
        <w:p w14:paraId="65A38C25" w14:textId="7AA695CF"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89" w:history="1">
            <w:r w:rsidR="000D1F3E" w:rsidRPr="00D84200">
              <w:rPr>
                <w:rStyle w:val="Hyperlink"/>
                <w:noProof/>
              </w:rPr>
              <w:t>Parliamentary Written Question 17449 (2022)</w:t>
            </w:r>
            <w:r w:rsidR="000D1F3E">
              <w:rPr>
                <w:noProof/>
                <w:webHidden/>
              </w:rPr>
              <w:tab/>
            </w:r>
            <w:r w:rsidR="000D1F3E">
              <w:rPr>
                <w:noProof/>
                <w:webHidden/>
              </w:rPr>
              <w:fldChar w:fldCharType="begin"/>
            </w:r>
            <w:r w:rsidR="000D1F3E">
              <w:rPr>
                <w:noProof/>
                <w:webHidden/>
              </w:rPr>
              <w:instrText xml:space="preserve"> PAGEREF _Toc133076289 \h </w:instrText>
            </w:r>
            <w:r w:rsidR="000D1F3E">
              <w:rPr>
                <w:noProof/>
                <w:webHidden/>
              </w:rPr>
            </w:r>
            <w:r w:rsidR="000D1F3E">
              <w:rPr>
                <w:noProof/>
                <w:webHidden/>
              </w:rPr>
              <w:fldChar w:fldCharType="separate"/>
            </w:r>
            <w:r w:rsidR="00CB79DB">
              <w:rPr>
                <w:noProof/>
                <w:webHidden/>
              </w:rPr>
              <w:t>38</w:t>
            </w:r>
            <w:r w:rsidR="000D1F3E">
              <w:rPr>
                <w:noProof/>
                <w:webHidden/>
              </w:rPr>
              <w:fldChar w:fldCharType="end"/>
            </w:r>
          </w:hyperlink>
        </w:p>
        <w:p w14:paraId="4E445968" w14:textId="762594DA"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90" w:history="1">
            <w:r w:rsidR="000D1F3E" w:rsidRPr="00D84200">
              <w:rPr>
                <w:rStyle w:val="Hyperlink"/>
                <w:noProof/>
              </w:rPr>
              <w:t>Parliamentary Written Question 17452 (2022)</w:t>
            </w:r>
            <w:r w:rsidR="000D1F3E">
              <w:rPr>
                <w:noProof/>
                <w:webHidden/>
              </w:rPr>
              <w:tab/>
            </w:r>
            <w:r w:rsidR="000D1F3E">
              <w:rPr>
                <w:noProof/>
                <w:webHidden/>
              </w:rPr>
              <w:fldChar w:fldCharType="begin"/>
            </w:r>
            <w:r w:rsidR="000D1F3E">
              <w:rPr>
                <w:noProof/>
                <w:webHidden/>
              </w:rPr>
              <w:instrText xml:space="preserve"> PAGEREF _Toc133076290 \h </w:instrText>
            </w:r>
            <w:r w:rsidR="000D1F3E">
              <w:rPr>
                <w:noProof/>
                <w:webHidden/>
              </w:rPr>
            </w:r>
            <w:r w:rsidR="000D1F3E">
              <w:rPr>
                <w:noProof/>
                <w:webHidden/>
              </w:rPr>
              <w:fldChar w:fldCharType="separate"/>
            </w:r>
            <w:r w:rsidR="00CB79DB">
              <w:rPr>
                <w:noProof/>
                <w:webHidden/>
              </w:rPr>
              <w:t>39</w:t>
            </w:r>
            <w:r w:rsidR="000D1F3E">
              <w:rPr>
                <w:noProof/>
                <w:webHidden/>
              </w:rPr>
              <w:fldChar w:fldCharType="end"/>
            </w:r>
          </w:hyperlink>
        </w:p>
        <w:p w14:paraId="2F26CF30" w14:textId="2F4214BB" w:rsidR="000D1F3E" w:rsidRDefault="00000000">
          <w:pPr>
            <w:pStyle w:val="TOC2"/>
            <w:tabs>
              <w:tab w:val="right" w:leader="dot" w:pos="8296"/>
            </w:tabs>
            <w:rPr>
              <w:rFonts w:asciiTheme="minorHAnsi" w:eastAsiaTheme="minorEastAsia" w:hAnsiTheme="minorHAnsi"/>
              <w:noProof/>
              <w:color w:val="auto"/>
              <w:sz w:val="22"/>
              <w:lang w:eastAsia="en-NZ"/>
            </w:rPr>
          </w:pPr>
          <w:hyperlink w:anchor="_Toc133076291" w:history="1">
            <w:r w:rsidR="000D1F3E" w:rsidRPr="00D84200">
              <w:rPr>
                <w:rStyle w:val="Hyperlink"/>
                <w:noProof/>
              </w:rPr>
              <w:t>Appendix D: Inconsistencies in data on Support Funds</w:t>
            </w:r>
            <w:r w:rsidR="000D1F3E">
              <w:rPr>
                <w:noProof/>
                <w:webHidden/>
              </w:rPr>
              <w:tab/>
            </w:r>
            <w:r w:rsidR="000D1F3E">
              <w:rPr>
                <w:noProof/>
                <w:webHidden/>
              </w:rPr>
              <w:fldChar w:fldCharType="begin"/>
            </w:r>
            <w:r w:rsidR="000D1F3E">
              <w:rPr>
                <w:noProof/>
                <w:webHidden/>
              </w:rPr>
              <w:instrText xml:space="preserve"> PAGEREF _Toc133076291 \h </w:instrText>
            </w:r>
            <w:r w:rsidR="000D1F3E">
              <w:rPr>
                <w:noProof/>
                <w:webHidden/>
              </w:rPr>
            </w:r>
            <w:r w:rsidR="000D1F3E">
              <w:rPr>
                <w:noProof/>
                <w:webHidden/>
              </w:rPr>
              <w:fldChar w:fldCharType="separate"/>
            </w:r>
            <w:r w:rsidR="00CB79DB">
              <w:rPr>
                <w:noProof/>
                <w:webHidden/>
              </w:rPr>
              <w:t>40</w:t>
            </w:r>
            <w:r w:rsidR="000D1F3E">
              <w:rPr>
                <w:noProof/>
                <w:webHidden/>
              </w:rPr>
              <w:fldChar w:fldCharType="end"/>
            </w:r>
          </w:hyperlink>
        </w:p>
        <w:p w14:paraId="7EE72732" w14:textId="5A0551A0"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92" w:history="1">
            <w:r w:rsidR="000D1F3E" w:rsidRPr="00D84200">
              <w:rPr>
                <w:rStyle w:val="Hyperlink"/>
                <w:noProof/>
              </w:rPr>
              <w:t>Parliamentary Written Question 16187 (2021) vs. 17439 (2022)</w:t>
            </w:r>
            <w:r w:rsidR="000D1F3E">
              <w:rPr>
                <w:noProof/>
                <w:webHidden/>
              </w:rPr>
              <w:tab/>
            </w:r>
            <w:r w:rsidR="000D1F3E">
              <w:rPr>
                <w:noProof/>
                <w:webHidden/>
              </w:rPr>
              <w:fldChar w:fldCharType="begin"/>
            </w:r>
            <w:r w:rsidR="000D1F3E">
              <w:rPr>
                <w:noProof/>
                <w:webHidden/>
              </w:rPr>
              <w:instrText xml:space="preserve"> PAGEREF _Toc133076292 \h </w:instrText>
            </w:r>
            <w:r w:rsidR="000D1F3E">
              <w:rPr>
                <w:noProof/>
                <w:webHidden/>
              </w:rPr>
            </w:r>
            <w:r w:rsidR="000D1F3E">
              <w:rPr>
                <w:noProof/>
                <w:webHidden/>
              </w:rPr>
              <w:fldChar w:fldCharType="separate"/>
            </w:r>
            <w:r w:rsidR="00CB79DB">
              <w:rPr>
                <w:noProof/>
                <w:webHidden/>
              </w:rPr>
              <w:t>40</w:t>
            </w:r>
            <w:r w:rsidR="000D1F3E">
              <w:rPr>
                <w:noProof/>
                <w:webHidden/>
              </w:rPr>
              <w:fldChar w:fldCharType="end"/>
            </w:r>
          </w:hyperlink>
        </w:p>
        <w:p w14:paraId="04D7A34D" w14:textId="7BD7D321"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93" w:history="1">
            <w:r w:rsidR="000D1F3E" w:rsidRPr="00D84200">
              <w:rPr>
                <w:rStyle w:val="Hyperlink"/>
                <w:noProof/>
              </w:rPr>
              <w:t>Parliamentary Written Question 16187 (2021) vs. 17440 (2022)</w:t>
            </w:r>
            <w:r w:rsidR="000D1F3E">
              <w:rPr>
                <w:noProof/>
                <w:webHidden/>
              </w:rPr>
              <w:tab/>
            </w:r>
            <w:r w:rsidR="000D1F3E">
              <w:rPr>
                <w:noProof/>
                <w:webHidden/>
              </w:rPr>
              <w:fldChar w:fldCharType="begin"/>
            </w:r>
            <w:r w:rsidR="000D1F3E">
              <w:rPr>
                <w:noProof/>
                <w:webHidden/>
              </w:rPr>
              <w:instrText xml:space="preserve"> PAGEREF _Toc133076293 \h </w:instrText>
            </w:r>
            <w:r w:rsidR="000D1F3E">
              <w:rPr>
                <w:noProof/>
                <w:webHidden/>
              </w:rPr>
            </w:r>
            <w:r w:rsidR="000D1F3E">
              <w:rPr>
                <w:noProof/>
                <w:webHidden/>
              </w:rPr>
              <w:fldChar w:fldCharType="separate"/>
            </w:r>
            <w:r w:rsidR="00CB79DB">
              <w:rPr>
                <w:noProof/>
                <w:webHidden/>
              </w:rPr>
              <w:t>41</w:t>
            </w:r>
            <w:r w:rsidR="000D1F3E">
              <w:rPr>
                <w:noProof/>
                <w:webHidden/>
              </w:rPr>
              <w:fldChar w:fldCharType="end"/>
            </w:r>
          </w:hyperlink>
        </w:p>
        <w:p w14:paraId="5FA07772" w14:textId="18007E4F" w:rsidR="000D1F3E" w:rsidRDefault="00000000">
          <w:pPr>
            <w:pStyle w:val="TOC3"/>
            <w:tabs>
              <w:tab w:val="right" w:leader="dot" w:pos="8296"/>
            </w:tabs>
            <w:rPr>
              <w:rFonts w:asciiTheme="minorHAnsi" w:eastAsiaTheme="minorEastAsia" w:hAnsiTheme="minorHAnsi"/>
              <w:noProof/>
              <w:color w:val="auto"/>
              <w:sz w:val="22"/>
              <w:lang w:eastAsia="en-NZ"/>
            </w:rPr>
          </w:pPr>
          <w:hyperlink w:anchor="_Toc133076294" w:history="1">
            <w:r w:rsidR="000D1F3E" w:rsidRPr="00D84200">
              <w:rPr>
                <w:rStyle w:val="Hyperlink"/>
                <w:noProof/>
              </w:rPr>
              <w:t xml:space="preserve">Parliamentary Written Question 17438 (2022) vs. </w:t>
            </w:r>
            <w:r w:rsidR="000D1F3E" w:rsidRPr="00D84200">
              <w:rPr>
                <w:rStyle w:val="Hyperlink"/>
                <w:rFonts w:eastAsia="Times New Roman"/>
                <w:noProof/>
              </w:rPr>
              <w:t>19557 (2022)</w:t>
            </w:r>
            <w:r w:rsidR="000D1F3E">
              <w:rPr>
                <w:noProof/>
                <w:webHidden/>
              </w:rPr>
              <w:tab/>
            </w:r>
            <w:r w:rsidR="000D1F3E">
              <w:rPr>
                <w:noProof/>
                <w:webHidden/>
              </w:rPr>
              <w:fldChar w:fldCharType="begin"/>
            </w:r>
            <w:r w:rsidR="000D1F3E">
              <w:rPr>
                <w:noProof/>
                <w:webHidden/>
              </w:rPr>
              <w:instrText xml:space="preserve"> PAGEREF _Toc133076294 \h </w:instrText>
            </w:r>
            <w:r w:rsidR="000D1F3E">
              <w:rPr>
                <w:noProof/>
                <w:webHidden/>
              </w:rPr>
            </w:r>
            <w:r w:rsidR="000D1F3E">
              <w:rPr>
                <w:noProof/>
                <w:webHidden/>
              </w:rPr>
              <w:fldChar w:fldCharType="separate"/>
            </w:r>
            <w:r w:rsidR="00CB79DB">
              <w:rPr>
                <w:noProof/>
                <w:webHidden/>
              </w:rPr>
              <w:t>41</w:t>
            </w:r>
            <w:r w:rsidR="000D1F3E">
              <w:rPr>
                <w:noProof/>
                <w:webHidden/>
              </w:rPr>
              <w:fldChar w:fldCharType="end"/>
            </w:r>
          </w:hyperlink>
        </w:p>
        <w:p w14:paraId="2A132C47" w14:textId="52BC93A9" w:rsidR="000D1F3E" w:rsidRDefault="00000000">
          <w:pPr>
            <w:pStyle w:val="TOC1"/>
            <w:rPr>
              <w:rFonts w:asciiTheme="minorHAnsi" w:eastAsiaTheme="minorEastAsia" w:hAnsiTheme="minorHAnsi"/>
              <w:noProof/>
              <w:color w:val="auto"/>
              <w:sz w:val="22"/>
              <w:lang w:eastAsia="en-NZ"/>
            </w:rPr>
          </w:pPr>
          <w:hyperlink w:anchor="_Toc133076295" w:history="1">
            <w:r w:rsidR="000D1F3E" w:rsidRPr="00D84200">
              <w:rPr>
                <w:rStyle w:val="Hyperlink"/>
                <w:noProof/>
              </w:rPr>
              <w:t>References</w:t>
            </w:r>
            <w:r w:rsidR="000D1F3E">
              <w:rPr>
                <w:noProof/>
                <w:webHidden/>
              </w:rPr>
              <w:tab/>
            </w:r>
            <w:r w:rsidR="000D1F3E">
              <w:rPr>
                <w:noProof/>
                <w:webHidden/>
              </w:rPr>
              <w:fldChar w:fldCharType="begin"/>
            </w:r>
            <w:r w:rsidR="000D1F3E">
              <w:rPr>
                <w:noProof/>
                <w:webHidden/>
              </w:rPr>
              <w:instrText xml:space="preserve"> PAGEREF _Toc133076295 \h </w:instrText>
            </w:r>
            <w:r w:rsidR="000D1F3E">
              <w:rPr>
                <w:noProof/>
                <w:webHidden/>
              </w:rPr>
            </w:r>
            <w:r w:rsidR="000D1F3E">
              <w:rPr>
                <w:noProof/>
                <w:webHidden/>
              </w:rPr>
              <w:fldChar w:fldCharType="separate"/>
            </w:r>
            <w:r w:rsidR="00CB79DB">
              <w:rPr>
                <w:noProof/>
                <w:webHidden/>
              </w:rPr>
              <w:t>43</w:t>
            </w:r>
            <w:r w:rsidR="000D1F3E">
              <w:rPr>
                <w:noProof/>
                <w:webHidden/>
              </w:rPr>
              <w:fldChar w:fldCharType="end"/>
            </w:r>
          </w:hyperlink>
        </w:p>
        <w:p w14:paraId="12CB5935" w14:textId="3C966DCB" w:rsidR="00D32EED" w:rsidRPr="00A76333" w:rsidRDefault="00D32EED" w:rsidP="00352F98">
          <w:pPr>
            <w:spacing w:after="0" w:line="276" w:lineRule="auto"/>
            <w:sectPr w:rsidR="00D32EED" w:rsidRPr="00A76333" w:rsidSect="00CB00AB">
              <w:headerReference w:type="default" r:id="rId12"/>
              <w:footerReference w:type="default" r:id="rId13"/>
              <w:endnotePr>
                <w:numFmt w:val="decimal"/>
              </w:endnotePr>
              <w:pgSz w:w="11906" w:h="16838" w:code="9"/>
              <w:pgMar w:top="1440" w:right="1800" w:bottom="1440" w:left="1800" w:header="709" w:footer="709" w:gutter="0"/>
              <w:cols w:space="708"/>
              <w:titlePg/>
              <w:docGrid w:linePitch="360"/>
            </w:sectPr>
          </w:pPr>
          <w:r>
            <w:rPr>
              <w:b/>
              <w:bCs/>
              <w:noProof/>
            </w:rPr>
            <w:fldChar w:fldCharType="end"/>
          </w:r>
        </w:p>
      </w:sdtContent>
    </w:sdt>
    <w:p w14:paraId="1E29FB28" w14:textId="3549486D" w:rsidR="00D32EED" w:rsidRPr="00077E90" w:rsidRDefault="00D32EED" w:rsidP="00077E90">
      <w:pPr>
        <w:pStyle w:val="Heading1"/>
      </w:pPr>
      <w:bookmarkStart w:id="0" w:name="_Toc133076234"/>
      <w:bookmarkStart w:id="1" w:name="_Toc63694310"/>
      <w:r w:rsidRPr="00077E90">
        <w:lastRenderedPageBreak/>
        <w:t xml:space="preserve">Executive </w:t>
      </w:r>
      <w:r w:rsidR="00FD79F8" w:rsidRPr="00D10B35">
        <w:t>s</w:t>
      </w:r>
      <w:r w:rsidRPr="00D10B35">
        <w:t>ummary</w:t>
      </w:r>
      <w:bookmarkEnd w:id="0"/>
    </w:p>
    <w:p w14:paraId="2AE78B9F" w14:textId="0DDCE856" w:rsidR="00D32EED" w:rsidRDefault="00D32EED" w:rsidP="000B18FB">
      <w:r>
        <w:t xml:space="preserve">The purpose of this report is to </w:t>
      </w:r>
      <w:r w:rsidR="006A44E5">
        <w:t>review</w:t>
      </w:r>
      <w:r w:rsidR="00A179AC">
        <w:t xml:space="preserve"> the Ministry of Social Development’s Job Support and Training Support Funding </w:t>
      </w:r>
      <w:r w:rsidR="00005881">
        <w:t xml:space="preserve">scheme </w:t>
      </w:r>
      <w:r w:rsidR="006A44E5">
        <w:t>and</w:t>
      </w:r>
      <w:r>
        <w:t xml:space="preserve"> provide insights into </w:t>
      </w:r>
      <w:r w:rsidR="00095A91">
        <w:t xml:space="preserve">the experiences of disabled people in accessing the scheme. </w:t>
      </w:r>
      <w:r>
        <w:t xml:space="preserve">This report </w:t>
      </w:r>
      <w:r w:rsidR="00785967">
        <w:t>has been</w:t>
      </w:r>
      <w:r w:rsidR="00FD79F8">
        <w:t xml:space="preserve"> possible</w:t>
      </w:r>
      <w:r w:rsidR="00785967">
        <w:t xml:space="preserve"> thanks to</w:t>
      </w:r>
      <w:r>
        <w:t xml:space="preserve"> </w:t>
      </w:r>
      <w:r w:rsidR="00785967">
        <w:t>Disabled Persons Assembly NZ members shar</w:t>
      </w:r>
      <w:r w:rsidR="00EA4C67">
        <w:t>ing their</w:t>
      </w:r>
      <w:r w:rsidR="00785967">
        <w:t xml:space="preserve"> experiences of </w:t>
      </w:r>
      <w:r>
        <w:t xml:space="preserve">finding information about, receiving, and appropriateness of </w:t>
      </w:r>
      <w:r w:rsidR="00FD79F8">
        <w:t>Support Funds.</w:t>
      </w:r>
    </w:p>
    <w:p w14:paraId="354E7259" w14:textId="483A2460" w:rsidR="00D32EED" w:rsidRDefault="00CB0014" w:rsidP="008A4114">
      <w:r>
        <w:rPr>
          <w:lang w:val="en-US"/>
        </w:rPr>
        <w:t xml:space="preserve">The </w:t>
      </w:r>
      <w:r w:rsidRPr="1AD5BE2F">
        <w:rPr>
          <w:lang w:val="en-US"/>
        </w:rPr>
        <w:t xml:space="preserve">Support Funds </w:t>
      </w:r>
      <w:r>
        <w:rPr>
          <w:lang w:val="en-US"/>
        </w:rPr>
        <w:t xml:space="preserve">scheme is greatly appreciated </w:t>
      </w:r>
      <w:r w:rsidRPr="1AD5BE2F">
        <w:rPr>
          <w:lang w:val="en-US"/>
        </w:rPr>
        <w:t>by those who are able to access it</w:t>
      </w:r>
      <w:r>
        <w:rPr>
          <w:lang w:val="en-US"/>
        </w:rPr>
        <w:t xml:space="preserve"> and many of the people we spoke to emphasized that their </w:t>
      </w:r>
      <w:r w:rsidR="006C7918">
        <w:rPr>
          <w:lang w:val="en-US"/>
        </w:rPr>
        <w:t xml:space="preserve">continued </w:t>
      </w:r>
      <w:r>
        <w:rPr>
          <w:lang w:val="en-US"/>
        </w:rPr>
        <w:t>involvement in the labour workforce was a</w:t>
      </w:r>
      <w:r w:rsidR="00417A6D">
        <w:rPr>
          <w:lang w:val="en-US"/>
        </w:rPr>
        <w:t xml:space="preserve"> direct</w:t>
      </w:r>
      <w:r>
        <w:rPr>
          <w:lang w:val="en-US"/>
        </w:rPr>
        <w:t xml:space="preserve"> result of being able to access these funds.</w:t>
      </w:r>
      <w:r w:rsidR="008A4114">
        <w:rPr>
          <w:lang w:val="en-US"/>
        </w:rPr>
        <w:t xml:space="preserve"> However,</w:t>
      </w:r>
      <w:r w:rsidR="00D32EED">
        <w:t xml:space="preserve"> </w:t>
      </w:r>
      <w:r w:rsidR="00FD79F8">
        <w:t>members</w:t>
      </w:r>
      <w:r w:rsidR="0064370A">
        <w:t xml:space="preserve"> shared insights into </w:t>
      </w:r>
      <w:r w:rsidR="003B75C7">
        <w:t>issues with the</w:t>
      </w:r>
      <w:r w:rsidR="003B6DDA">
        <w:t xml:space="preserve"> scheme, including that</w:t>
      </w:r>
      <w:r w:rsidR="00D95F6D">
        <w:t xml:space="preserve"> Support Funds can</w:t>
      </w:r>
      <w:r w:rsidR="00F830FC">
        <w:t xml:space="preserve"> be</w:t>
      </w:r>
      <w:r w:rsidR="003B6DDA">
        <w:t>:</w:t>
      </w:r>
    </w:p>
    <w:p w14:paraId="1D859E72" w14:textId="01138F48" w:rsidR="00D32EED" w:rsidRDefault="00D32EED">
      <w:pPr>
        <w:pStyle w:val="ListParagraph"/>
        <w:numPr>
          <w:ilvl w:val="0"/>
          <w:numId w:val="7"/>
        </w:numPr>
      </w:pPr>
      <w:r>
        <w:t>difficult to access</w:t>
      </w:r>
      <w:r w:rsidR="001C5265">
        <w:t>;</w:t>
      </w:r>
    </w:p>
    <w:p w14:paraId="2A1C3449" w14:textId="3FE61139" w:rsidR="00D32EED" w:rsidRDefault="00D32EED">
      <w:pPr>
        <w:pStyle w:val="ListParagraph"/>
        <w:numPr>
          <w:ilvl w:val="0"/>
          <w:numId w:val="7"/>
        </w:numPr>
      </w:pPr>
      <w:r>
        <w:t>difficult to maintain</w:t>
      </w:r>
      <w:r w:rsidR="001C5265">
        <w:t>;</w:t>
      </w:r>
    </w:p>
    <w:p w14:paraId="4E4FAD2F" w14:textId="2B76FECD" w:rsidR="001C5265" w:rsidRDefault="001C5265" w:rsidP="001A2DAD">
      <w:pPr>
        <w:pStyle w:val="ListParagraph"/>
        <w:numPr>
          <w:ilvl w:val="0"/>
          <w:numId w:val="7"/>
        </w:numPr>
      </w:pPr>
      <w:r>
        <w:t>inequitable;</w:t>
      </w:r>
    </w:p>
    <w:p w14:paraId="2C4C277F" w14:textId="77777777" w:rsidR="00D95F6D" w:rsidRDefault="001C5265" w:rsidP="00D95F6D">
      <w:pPr>
        <w:pStyle w:val="ListParagraph"/>
        <w:numPr>
          <w:ilvl w:val="0"/>
          <w:numId w:val="7"/>
        </w:numPr>
      </w:pPr>
      <w:r>
        <w:t>disabled pe</w:t>
      </w:r>
      <w:r w:rsidR="00D32EED">
        <w:t xml:space="preserve">ople are discouraged from </w:t>
      </w:r>
      <w:r w:rsidR="007432E7">
        <w:t>applying</w:t>
      </w:r>
      <w:r w:rsidR="00D95F6D">
        <w:t>; and</w:t>
      </w:r>
    </w:p>
    <w:p w14:paraId="2310E8B8" w14:textId="1A2F5980" w:rsidR="00D95F6D" w:rsidRDefault="00D95F6D" w:rsidP="000B2B3E">
      <w:pPr>
        <w:pStyle w:val="ListParagraph"/>
        <w:numPr>
          <w:ilvl w:val="0"/>
          <w:numId w:val="7"/>
        </w:numPr>
      </w:pPr>
      <w:r>
        <w:t xml:space="preserve">these barriers </w:t>
      </w:r>
      <w:r w:rsidR="000D1F3E">
        <w:t xml:space="preserve">to funding can </w:t>
      </w:r>
      <w:r>
        <w:t>impact employment outcomes.</w:t>
      </w:r>
    </w:p>
    <w:p w14:paraId="70BED4A6" w14:textId="678CE3ED" w:rsidR="00D32EED" w:rsidRDefault="00924E41" w:rsidP="00D95F6D">
      <w:r>
        <w:t>D</w:t>
      </w:r>
      <w:r w:rsidR="006D1077">
        <w:t>espite there being a</w:t>
      </w:r>
      <w:r w:rsidR="008E3B64">
        <w:t xml:space="preserve"> real </w:t>
      </w:r>
      <w:r w:rsidR="006D1077">
        <w:t>need</w:t>
      </w:r>
      <w:r>
        <w:t xml:space="preserve"> for such a fund,</w:t>
      </w:r>
      <w:r w:rsidR="006D1077">
        <w:t xml:space="preserve"> </w:t>
      </w:r>
      <w:r>
        <w:t>th</w:t>
      </w:r>
      <w:r w:rsidR="007722F1">
        <w:t>e</w:t>
      </w:r>
      <w:r w:rsidR="00417A6D">
        <w:t xml:space="preserve"> above</w:t>
      </w:r>
      <w:r w:rsidR="007722F1">
        <w:t xml:space="preserve"> factors are thought to have</w:t>
      </w:r>
      <w:r w:rsidR="00D32EED">
        <w:t xml:space="preserve"> </w:t>
      </w:r>
      <w:r w:rsidR="008E3B64">
        <w:t>contributed</w:t>
      </w:r>
      <w:r w:rsidR="00D32EED">
        <w:t xml:space="preserve"> to </w:t>
      </w:r>
      <w:r w:rsidR="006D1077">
        <w:t>a</w:t>
      </w:r>
      <w:r w:rsidR="00D32EED">
        <w:t xml:space="preserve"> significant drop in applications for </w:t>
      </w:r>
      <w:r>
        <w:t>S</w:t>
      </w:r>
      <w:r w:rsidR="00D32EED">
        <w:t xml:space="preserve">upport </w:t>
      </w:r>
      <w:r>
        <w:t>F</w:t>
      </w:r>
      <w:r w:rsidR="00D32EED">
        <w:t xml:space="preserve">unds over the past </w:t>
      </w:r>
      <w:r w:rsidR="008E3B64">
        <w:t>decade</w:t>
      </w:r>
      <w:r w:rsidR="005E7314">
        <w:t xml:space="preserve">, </w:t>
      </w:r>
      <w:r w:rsidR="007722F1">
        <w:t xml:space="preserve">as shown </w:t>
      </w:r>
      <w:r w:rsidR="006144E8">
        <w:t xml:space="preserve">below </w:t>
      </w:r>
      <w:r w:rsidR="007722F1">
        <w:t xml:space="preserve">in recent data </w:t>
      </w:r>
      <w:r w:rsidR="0079613E" w:rsidRPr="0079613E">
        <w:t xml:space="preserve">released </w:t>
      </w:r>
      <w:r w:rsidR="00FD23C3">
        <w:t>through Parliamentary Written Questions</w:t>
      </w:r>
      <w:r w:rsidR="008E3B64">
        <w:t xml:space="preserve"> (see Appendix B and C)</w:t>
      </w:r>
      <w:r w:rsidR="003A22E5">
        <w:t xml:space="preserve">, which </w:t>
      </w:r>
      <w:r w:rsidR="00F04580">
        <w:t>reveals</w:t>
      </w:r>
      <w:r w:rsidR="004D460A">
        <w:t xml:space="preserve"> drops in</w:t>
      </w:r>
      <w:r w:rsidR="00D32EED">
        <w:t>:</w:t>
      </w:r>
    </w:p>
    <w:p w14:paraId="63F0E567" w14:textId="587E2F18" w:rsidR="00D32EED" w:rsidRDefault="00D32EED">
      <w:pPr>
        <w:pStyle w:val="ListParagraph"/>
        <w:numPr>
          <w:ilvl w:val="0"/>
          <w:numId w:val="8"/>
        </w:numPr>
      </w:pPr>
      <w:r>
        <w:t>allocated budget</w:t>
      </w:r>
      <w:r w:rsidR="004D460A">
        <w:t xml:space="preserve"> (-16%)</w:t>
      </w:r>
      <w:r>
        <w:t>;</w:t>
      </w:r>
    </w:p>
    <w:p w14:paraId="2B9D9F6C" w14:textId="5A12FC17" w:rsidR="00D32EED" w:rsidRDefault="00D32EED">
      <w:pPr>
        <w:pStyle w:val="ListParagraph"/>
        <w:numPr>
          <w:ilvl w:val="0"/>
          <w:numId w:val="8"/>
        </w:numPr>
      </w:pPr>
      <w:r>
        <w:t>spending on Job Support</w:t>
      </w:r>
      <w:r w:rsidR="004D460A">
        <w:t xml:space="preserve"> (-38%)</w:t>
      </w:r>
      <w:r>
        <w:t>;</w:t>
      </w:r>
    </w:p>
    <w:p w14:paraId="58F9C780" w14:textId="22959DFD" w:rsidR="00D32EED" w:rsidRDefault="00D32EED">
      <w:pPr>
        <w:pStyle w:val="ListParagraph"/>
        <w:numPr>
          <w:ilvl w:val="0"/>
          <w:numId w:val="8"/>
        </w:numPr>
      </w:pPr>
      <w:r>
        <w:t>spending on Training Support</w:t>
      </w:r>
      <w:r w:rsidR="004D460A">
        <w:t xml:space="preserve"> (-83%)</w:t>
      </w:r>
      <w:r>
        <w:t>;</w:t>
      </w:r>
    </w:p>
    <w:p w14:paraId="3BC1C9C0" w14:textId="221AF905" w:rsidR="00F44C96" w:rsidRDefault="00D32EED" w:rsidP="00F44C96">
      <w:pPr>
        <w:pStyle w:val="ListParagraph"/>
        <w:numPr>
          <w:ilvl w:val="0"/>
          <w:numId w:val="8"/>
        </w:numPr>
      </w:pPr>
      <w:r>
        <w:t>individuals receiving Job Support</w:t>
      </w:r>
      <w:r w:rsidR="004D460A">
        <w:t xml:space="preserve"> (-44%)</w:t>
      </w:r>
      <w:r>
        <w:t>; and</w:t>
      </w:r>
    </w:p>
    <w:p w14:paraId="78059375" w14:textId="5CC26600" w:rsidR="00D32EED" w:rsidRDefault="00D32EED">
      <w:pPr>
        <w:pStyle w:val="ListParagraph"/>
        <w:numPr>
          <w:ilvl w:val="0"/>
          <w:numId w:val="8"/>
        </w:numPr>
      </w:pPr>
      <w:r>
        <w:t>Job Support applications submitted</w:t>
      </w:r>
      <w:r w:rsidR="004D460A">
        <w:t xml:space="preserve"> (-41%)</w:t>
      </w:r>
      <w:r>
        <w:t>.</w:t>
      </w:r>
    </w:p>
    <w:p w14:paraId="04EC4952" w14:textId="3A2B3ED9" w:rsidR="00D32EED" w:rsidRDefault="00A5016C" w:rsidP="008C14DB">
      <w:r>
        <w:lastRenderedPageBreak/>
        <w:t>Notably, t</w:t>
      </w:r>
      <w:r w:rsidR="006144E8">
        <w:t>he</w:t>
      </w:r>
      <w:r w:rsidR="009065D5">
        <w:t xml:space="preserve"> maximum funding amount of $16,900 has not risen</w:t>
      </w:r>
      <w:r w:rsidR="009065D5" w:rsidRPr="009065D5">
        <w:t xml:space="preserve"> </w:t>
      </w:r>
      <w:r w:rsidR="009065D5">
        <w:t xml:space="preserve">since the fund was introduced in 1994, </w:t>
      </w:r>
      <w:r w:rsidR="004D3A4F">
        <w:t>despite</w:t>
      </w:r>
      <w:r w:rsidR="000F77E1">
        <w:t xml:space="preserve"> </w:t>
      </w:r>
      <w:r w:rsidR="004D5A23">
        <w:t>an</w:t>
      </w:r>
      <w:r w:rsidR="006F75A8">
        <w:t xml:space="preserve"> 89.2</w:t>
      </w:r>
      <w:r w:rsidR="006234E1" w:rsidRPr="006234E1">
        <w:t xml:space="preserve"> </w:t>
      </w:r>
      <w:r w:rsidR="00D32EED">
        <w:t xml:space="preserve">percent </w:t>
      </w:r>
      <w:r w:rsidR="006F75A8">
        <w:t xml:space="preserve">(general) and 155.5 percent (wages) rise in inflation </w:t>
      </w:r>
      <w:r w:rsidR="008C14DB">
        <w:t xml:space="preserve">and </w:t>
      </w:r>
      <w:r w:rsidR="00417A6D">
        <w:t>a</w:t>
      </w:r>
      <w:r w:rsidR="001A2693">
        <w:t xml:space="preserve"> </w:t>
      </w:r>
      <w:r w:rsidR="002438DD" w:rsidRPr="002438DD">
        <w:t>47.1</w:t>
      </w:r>
      <w:r w:rsidR="002438DD">
        <w:t xml:space="preserve"> </w:t>
      </w:r>
      <w:r w:rsidR="008C14DB">
        <w:t xml:space="preserve">percent </w:t>
      </w:r>
      <w:r w:rsidR="001A2693">
        <w:t xml:space="preserve">(general) and </w:t>
      </w:r>
      <w:r w:rsidR="002438DD">
        <w:t>60.9 percent (wages)</w:t>
      </w:r>
      <w:r w:rsidR="002438DD" w:rsidRPr="002438DD">
        <w:t xml:space="preserve"> </w:t>
      </w:r>
      <w:r w:rsidR="008C14DB">
        <w:t xml:space="preserve">drop in purchasing power </w:t>
      </w:r>
      <w:r w:rsidR="000F77E1">
        <w:t>over the same time period</w:t>
      </w:r>
      <w:r w:rsidR="009065D5">
        <w:t>.</w:t>
      </w:r>
      <w:r w:rsidR="00CB25A1">
        <w:rPr>
          <w:rStyle w:val="EndnoteReference"/>
        </w:rPr>
        <w:endnoteReference w:id="2"/>
      </w:r>
    </w:p>
    <w:p w14:paraId="6D164536" w14:textId="77777777" w:rsidR="00646890" w:rsidRPr="000D1039" w:rsidRDefault="00646890" w:rsidP="0062043F">
      <w:pPr>
        <w:rPr>
          <w:rFonts w:eastAsiaTheme="majorEastAsia" w:cstheme="majorBidi"/>
          <w:b/>
          <w:color w:val="5EC3CB"/>
          <w:sz w:val="72"/>
          <w:szCs w:val="32"/>
        </w:rPr>
      </w:pPr>
      <w:r>
        <w:t>It is therefore strongly recommended that the Ministry:</w:t>
      </w:r>
    </w:p>
    <w:p w14:paraId="40F0CA9E" w14:textId="77777777" w:rsidR="0062043F" w:rsidRDefault="0062043F" w:rsidP="0062043F">
      <w:pPr>
        <w:pStyle w:val="ListParagraph"/>
        <w:numPr>
          <w:ilvl w:val="0"/>
          <w:numId w:val="26"/>
        </w:numPr>
      </w:pPr>
      <w:r>
        <w:t>increase the maximum Job Support Funding amount in line with inflation, living wage and cost of living;</w:t>
      </w:r>
    </w:p>
    <w:p w14:paraId="237E3D12" w14:textId="292DEFD4" w:rsidR="00AC15D3" w:rsidRDefault="00AC15D3" w:rsidP="00AC15D3">
      <w:pPr>
        <w:pStyle w:val="ListParagraph"/>
        <w:numPr>
          <w:ilvl w:val="0"/>
          <w:numId w:val="26"/>
        </w:numPr>
      </w:pPr>
      <w:r>
        <w:t>increase the maximum Training Support funding amount in line with inflation, living wage and cost of living and review the period of time it covers;</w:t>
      </w:r>
    </w:p>
    <w:p w14:paraId="7099E1AB" w14:textId="77777777" w:rsidR="0062043F" w:rsidRDefault="0062043F" w:rsidP="0062043F">
      <w:pPr>
        <w:pStyle w:val="ListParagraph"/>
        <w:numPr>
          <w:ilvl w:val="0"/>
          <w:numId w:val="26"/>
        </w:numPr>
      </w:pPr>
      <w:r>
        <w:t>increase the Support Funds budget in line with inflation, living wage, cost of living, and population increase;</w:t>
      </w:r>
    </w:p>
    <w:p w14:paraId="5A7347E5" w14:textId="77777777" w:rsidR="0062043F" w:rsidRDefault="0062043F" w:rsidP="0062043F">
      <w:pPr>
        <w:pStyle w:val="ListParagraph"/>
        <w:numPr>
          <w:ilvl w:val="0"/>
          <w:numId w:val="26"/>
        </w:numPr>
      </w:pPr>
      <w:r>
        <w:t>review the Support Funds eligibility criteria and application process, in collaboration with disabled people;</w:t>
      </w:r>
    </w:p>
    <w:p w14:paraId="1399EFE4" w14:textId="0A1543F9" w:rsidR="0062043F" w:rsidRDefault="0062043F" w:rsidP="0062043F">
      <w:pPr>
        <w:pStyle w:val="ListParagraph"/>
        <w:numPr>
          <w:ilvl w:val="0"/>
          <w:numId w:val="26"/>
        </w:numPr>
      </w:pPr>
      <w:r>
        <w:t>expand eligibility criteria and streamline processes to make accessing funds more accessible for all disabled people, in particular those who are self-employed or consulting;</w:t>
      </w:r>
    </w:p>
    <w:p w14:paraId="1394AD30" w14:textId="5232CA44" w:rsidR="0062043F" w:rsidRDefault="0062043F" w:rsidP="0062043F">
      <w:pPr>
        <w:pStyle w:val="ListParagraph"/>
        <w:numPr>
          <w:ilvl w:val="0"/>
          <w:numId w:val="26"/>
        </w:numPr>
      </w:pPr>
      <w:r>
        <w:t>raise awareness about function and availability of Support Funds with disabled people and employers;</w:t>
      </w:r>
    </w:p>
    <w:p w14:paraId="49C4B61F" w14:textId="77777777" w:rsidR="0062043F" w:rsidRPr="00EB1BF4" w:rsidRDefault="0062043F" w:rsidP="0062043F">
      <w:pPr>
        <w:pStyle w:val="ListParagraph"/>
        <w:numPr>
          <w:ilvl w:val="0"/>
          <w:numId w:val="26"/>
        </w:numPr>
      </w:pPr>
      <w:r w:rsidRPr="00EB1BF4">
        <w:t>review the application of</w:t>
      </w:r>
      <w:r>
        <w:t xml:space="preserve"> the</w:t>
      </w:r>
      <w:r w:rsidRPr="00EB1BF4">
        <w:t xml:space="preserve"> ‘fund of last resort’ criteria</w:t>
      </w:r>
      <w:r>
        <w:t>;</w:t>
      </w:r>
    </w:p>
    <w:p w14:paraId="1A8B9922" w14:textId="77777777" w:rsidR="0062043F" w:rsidRDefault="0062043F" w:rsidP="0062043F">
      <w:pPr>
        <w:pStyle w:val="ListParagraph"/>
        <w:numPr>
          <w:ilvl w:val="0"/>
          <w:numId w:val="26"/>
        </w:numPr>
      </w:pPr>
      <w:r>
        <w:t>clarify</w:t>
      </w:r>
      <w:r w:rsidRPr="00EB1BF4">
        <w:t xml:space="preserve"> the term ‘reasonable accommodations</w:t>
      </w:r>
      <w:r>
        <w:t>’ to provide clearer expectations for employers;</w:t>
      </w:r>
    </w:p>
    <w:p w14:paraId="787E66F8" w14:textId="77777777" w:rsidR="0062043F" w:rsidRPr="002D4799" w:rsidRDefault="0062043F" w:rsidP="0062043F">
      <w:pPr>
        <w:pStyle w:val="ListParagraph"/>
        <w:numPr>
          <w:ilvl w:val="0"/>
          <w:numId w:val="26"/>
        </w:numPr>
      </w:pPr>
      <w:r>
        <w:t xml:space="preserve">establish </w:t>
      </w:r>
      <w:r w:rsidRPr="002D4799">
        <w:t xml:space="preserve">review panels made up of disabled people, as is the case </w:t>
      </w:r>
      <w:r>
        <w:t>with</w:t>
      </w:r>
      <w:r w:rsidRPr="002D4799">
        <w:t xml:space="preserve"> E</w:t>
      </w:r>
      <w:r>
        <w:t>nabling Good Lives</w:t>
      </w:r>
      <w:r w:rsidRPr="002D4799">
        <w:t>;</w:t>
      </w:r>
      <w:r>
        <w:t xml:space="preserve"> and</w:t>
      </w:r>
    </w:p>
    <w:p w14:paraId="24412C16" w14:textId="77777777" w:rsidR="0062043F" w:rsidRDefault="0062043F" w:rsidP="0062043F">
      <w:pPr>
        <w:pStyle w:val="ListParagraph"/>
        <w:numPr>
          <w:ilvl w:val="0"/>
          <w:numId w:val="26"/>
        </w:numPr>
      </w:pPr>
      <w:r>
        <w:t>undertake a formal external evaluation of Support Funds policies and processes, ensuring that this is disabled-led.</w:t>
      </w:r>
    </w:p>
    <w:p w14:paraId="50FAE5F2" w14:textId="0548E7DE" w:rsidR="00DD4B3C" w:rsidRPr="00A66CA9" w:rsidRDefault="00A66CA9" w:rsidP="00171FBE">
      <w:r>
        <w:t>Th</w:t>
      </w:r>
      <w:r w:rsidR="00676156">
        <w:t xml:space="preserve">e </w:t>
      </w:r>
      <w:r w:rsidR="005E4DDB">
        <w:t>feedback from</w:t>
      </w:r>
      <w:r w:rsidR="00676156">
        <w:t xml:space="preserve"> disabled people shared in this report reflect</w:t>
      </w:r>
      <w:r w:rsidR="005E4DDB">
        <w:t>s</w:t>
      </w:r>
      <w:r w:rsidR="00676156">
        <w:t xml:space="preserve"> </w:t>
      </w:r>
      <w:r w:rsidR="005E4DDB">
        <w:t xml:space="preserve">experiences over </w:t>
      </w:r>
      <w:r w:rsidR="00417A6D">
        <w:t>the</w:t>
      </w:r>
      <w:r w:rsidR="005E4DDB">
        <w:t xml:space="preserve"> period of time</w:t>
      </w:r>
      <w:r>
        <w:t xml:space="preserve"> </w:t>
      </w:r>
      <w:r w:rsidR="00341105">
        <w:t xml:space="preserve">before </w:t>
      </w:r>
      <w:r w:rsidR="00417A6D">
        <w:t>the</w:t>
      </w:r>
      <w:r w:rsidR="00341105">
        <w:t xml:space="preserve"> tran</w:t>
      </w:r>
      <w:r w:rsidR="00417A6D">
        <w:t>sfer</w:t>
      </w:r>
      <w:r w:rsidR="00341105">
        <w:t xml:space="preserve"> of Support Funds administration from Workbridge back to</w:t>
      </w:r>
      <w:r w:rsidR="00417A6D">
        <w:t xml:space="preserve"> the</w:t>
      </w:r>
      <w:r w:rsidR="00341105">
        <w:t xml:space="preserve"> </w:t>
      </w:r>
      <w:r w:rsidR="003E36D3">
        <w:t>Ministry of Social Development in March 2023</w:t>
      </w:r>
      <w:r w:rsidR="005E4DDB">
        <w:t>. F</w:t>
      </w:r>
      <w:r w:rsidR="001E23A4">
        <w:t>indings</w:t>
      </w:r>
      <w:r w:rsidR="005E4DDB">
        <w:t xml:space="preserve"> </w:t>
      </w:r>
      <w:r w:rsidR="001E23A4">
        <w:t xml:space="preserve">included in this report </w:t>
      </w:r>
      <w:r w:rsidR="004E5E9A">
        <w:t xml:space="preserve">provide valuable insights </w:t>
      </w:r>
      <w:r w:rsidR="00B56F36">
        <w:t>for any</w:t>
      </w:r>
      <w:r w:rsidR="004E5E9A">
        <w:t xml:space="preserve"> </w:t>
      </w:r>
      <w:r w:rsidR="005E4DDB">
        <w:t xml:space="preserve">future </w:t>
      </w:r>
      <w:r w:rsidR="00171FBE">
        <w:t>reviews of Support Funds.</w:t>
      </w:r>
      <w:r w:rsidR="00DD4B3C">
        <w:br w:type="page"/>
      </w:r>
    </w:p>
    <w:p w14:paraId="0A152F4A" w14:textId="639FE4DA" w:rsidR="00D32EED" w:rsidRDefault="00C851C3" w:rsidP="00D32EED">
      <w:pPr>
        <w:pStyle w:val="Heading1"/>
      </w:pPr>
      <w:bookmarkStart w:id="2" w:name="_Toc133076235"/>
      <w:r>
        <w:lastRenderedPageBreak/>
        <w:t>Background</w:t>
      </w:r>
      <w:bookmarkEnd w:id="2"/>
    </w:p>
    <w:p w14:paraId="459AD4B8" w14:textId="77777777" w:rsidR="0024565D" w:rsidRDefault="00C851C3" w:rsidP="0024565D">
      <w:pPr>
        <w:pStyle w:val="Heading2"/>
      </w:pPr>
      <w:bookmarkStart w:id="3" w:name="_Toc133076236"/>
      <w:r>
        <w:t>Support Funds</w:t>
      </w:r>
      <w:r w:rsidR="0024565D">
        <w:t xml:space="preserve"> eligibility</w:t>
      </w:r>
      <w:r w:rsidR="0024565D" w:rsidRPr="00E3530F">
        <w:t xml:space="preserve"> </w:t>
      </w:r>
      <w:r w:rsidR="0024565D">
        <w:t>criteria</w:t>
      </w:r>
      <w:bookmarkEnd w:id="3"/>
    </w:p>
    <w:p w14:paraId="53DA09DF" w14:textId="1D1A35D2" w:rsidR="0061495B" w:rsidRDefault="00D32EED" w:rsidP="00165617">
      <w:r>
        <w:t xml:space="preserve">Job Support and Training Support are funded by </w:t>
      </w:r>
      <w:r w:rsidR="007722F1">
        <w:t xml:space="preserve">the </w:t>
      </w:r>
      <w:r w:rsidR="002866BF">
        <w:t>Ministry of Social Development</w:t>
      </w:r>
      <w:r w:rsidR="00DF5C47">
        <w:t xml:space="preserve"> </w:t>
      </w:r>
      <w:r w:rsidR="002866BF">
        <w:t>(</w:t>
      </w:r>
      <w:r>
        <w:t>MSD</w:t>
      </w:r>
      <w:r w:rsidR="002866BF">
        <w:t>)</w:t>
      </w:r>
      <w:r w:rsidR="009065D5">
        <w:t xml:space="preserve"> and have</w:t>
      </w:r>
      <w:r w:rsidR="00A832D4">
        <w:t xml:space="preserve"> been administered</w:t>
      </w:r>
      <w:r>
        <w:t xml:space="preserve"> by Workbridge</w:t>
      </w:r>
      <w:r w:rsidR="00A832D4">
        <w:t xml:space="preserve"> since 1994.</w:t>
      </w:r>
      <w:r w:rsidR="00165617">
        <w:t xml:space="preserve"> At the time of writing this report, MSD announced that the administration and management of these funds w</w:t>
      </w:r>
      <w:r w:rsidR="00CF0568">
        <w:t>ould be</w:t>
      </w:r>
      <w:r w:rsidR="00165617">
        <w:t xml:space="preserve"> go</w:t>
      </w:r>
      <w:r w:rsidR="00CF0568">
        <w:t>ing</w:t>
      </w:r>
      <w:r w:rsidR="00165617">
        <w:t xml:space="preserve"> back to MSD during the first quarter of 2023.</w:t>
      </w:r>
      <w:r w:rsidR="00156943">
        <w:rPr>
          <w:rStyle w:val="EndnoteReference"/>
        </w:rPr>
        <w:endnoteReference w:id="3"/>
      </w:r>
      <w:r w:rsidR="00FC1243">
        <w:t xml:space="preserve"> </w:t>
      </w:r>
      <w:r w:rsidR="0061495B">
        <w:t xml:space="preserve">Once </w:t>
      </w:r>
      <w:r w:rsidR="00B44DC8">
        <w:t xml:space="preserve">someone is </w:t>
      </w:r>
      <w:r w:rsidR="0061495B">
        <w:t xml:space="preserve">eligible for Job Support or Training Support (Support Funds), there are several support assistance categories </w:t>
      </w:r>
      <w:r w:rsidR="00B44DC8">
        <w:t>they</w:t>
      </w:r>
      <w:r w:rsidR="00CF0568">
        <w:t xml:space="preserve"> ca</w:t>
      </w:r>
      <w:r w:rsidR="0061495B">
        <w:t xml:space="preserve">n apply under. Additionally, there are some supports that can be paid directly to </w:t>
      </w:r>
      <w:r w:rsidR="00CF0568">
        <w:t>their</w:t>
      </w:r>
      <w:r w:rsidR="0061495B">
        <w:t xml:space="preserve"> employer (</w:t>
      </w:r>
      <w:r w:rsidR="00DD7C5D">
        <w:t xml:space="preserve">see </w:t>
      </w:r>
      <w:r w:rsidR="0061495B">
        <w:t>Appendix A).</w:t>
      </w:r>
    </w:p>
    <w:p w14:paraId="79A5F75A" w14:textId="7F9C1AE3" w:rsidR="00D32EED" w:rsidRPr="0032276A" w:rsidRDefault="00D32EED" w:rsidP="00627EBF">
      <w:r>
        <w:rPr>
          <w:lang w:eastAsia="en-NZ"/>
        </w:rPr>
        <w:t>In order to access funding for employment support, disabled people must f</w:t>
      </w:r>
      <w:r w:rsidR="00417A6D">
        <w:rPr>
          <w:lang w:eastAsia="en-NZ"/>
        </w:rPr>
        <w:t>ulfil</w:t>
      </w:r>
      <w:r>
        <w:rPr>
          <w:lang w:eastAsia="en-NZ"/>
        </w:rPr>
        <w:t xml:space="preserve"> a list of criteria</w:t>
      </w:r>
      <w:r w:rsidR="005E7314">
        <w:rPr>
          <w:lang w:eastAsia="en-NZ"/>
        </w:rPr>
        <w:t xml:space="preserve"> and complete a</w:t>
      </w:r>
      <w:r w:rsidR="00EC6143">
        <w:t xml:space="preserve">pplication </w:t>
      </w:r>
      <w:r w:rsidR="005E7314">
        <w:t>f</w:t>
      </w:r>
      <w:r w:rsidR="00EC6143">
        <w:t xml:space="preserve">orms </w:t>
      </w:r>
      <w:r w:rsidR="005E7314">
        <w:t xml:space="preserve">that </w:t>
      </w:r>
      <w:r w:rsidR="00417A6D">
        <w:t xml:space="preserve">have, until recently, only been </w:t>
      </w:r>
      <w:r w:rsidR="00EC6143">
        <w:t xml:space="preserve">available </w:t>
      </w:r>
      <w:r w:rsidR="00417A6D">
        <w:t xml:space="preserve">online </w:t>
      </w:r>
      <w:r w:rsidR="009065D5">
        <w:t>in PDF format</w:t>
      </w:r>
      <w:r w:rsidR="00EC6143">
        <w:t>.</w:t>
      </w:r>
      <w:r w:rsidR="00EC6143">
        <w:rPr>
          <w:rStyle w:val="EndnoteReference"/>
        </w:rPr>
        <w:endnoteReference w:id="4"/>
      </w:r>
      <w:r w:rsidR="00EC6143">
        <w:t xml:space="preserve"> </w:t>
      </w:r>
      <w:r w:rsidR="00EC6143">
        <w:rPr>
          <w:rStyle w:val="EndnoteReference"/>
        </w:rPr>
        <w:endnoteReference w:id="5"/>
      </w:r>
      <w:r w:rsidR="00F95FC1">
        <w:t xml:space="preserve"> Since moving back to MSD, these forms are available on the Work and Income NZ </w:t>
      </w:r>
      <w:r w:rsidR="00F67C10">
        <w:t>website</w:t>
      </w:r>
      <w:r w:rsidR="00567859">
        <w:t xml:space="preserve"> </w:t>
      </w:r>
      <w:r w:rsidR="00417A6D">
        <w:t>alongside</w:t>
      </w:r>
      <w:r w:rsidR="00567859">
        <w:t xml:space="preserve"> Word document</w:t>
      </w:r>
      <w:r w:rsidR="00417A6D">
        <w:t>s</w:t>
      </w:r>
      <w:r w:rsidR="00A565DD">
        <w:t xml:space="preserve"> </w:t>
      </w:r>
      <w:r w:rsidR="00417A6D">
        <w:t>and</w:t>
      </w:r>
      <w:r w:rsidR="00A565DD">
        <w:t xml:space="preserve"> alternate formats in </w:t>
      </w:r>
      <w:r w:rsidR="00627EBF">
        <w:t>Māori</w:t>
      </w:r>
      <w:r w:rsidR="00A565DD">
        <w:t xml:space="preserve">, Easy Read, large print, </w:t>
      </w:r>
      <w:r w:rsidR="00567859">
        <w:t>audio file, and Braille</w:t>
      </w:r>
      <w:r w:rsidR="00361452">
        <w:t>.</w:t>
      </w:r>
      <w:r w:rsidR="00024A6B">
        <w:rPr>
          <w:rStyle w:val="EndnoteReference"/>
        </w:rPr>
        <w:endnoteReference w:id="6"/>
      </w:r>
      <w:r w:rsidR="00024A6B">
        <w:t xml:space="preserve"> </w:t>
      </w:r>
      <w:r w:rsidR="00627EBF">
        <w:t>Comprehensive i</w:t>
      </w:r>
      <w:r w:rsidR="002870FC">
        <w:t xml:space="preserve">nformation about </w:t>
      </w:r>
      <w:r w:rsidR="00627EBF">
        <w:t>eligibility</w:t>
      </w:r>
      <w:r w:rsidR="00024A6B">
        <w:t xml:space="preserve"> criteria, what you can get</w:t>
      </w:r>
      <w:r w:rsidR="00417A6D">
        <w:t>,</w:t>
      </w:r>
      <w:r w:rsidR="00024A6B">
        <w:t xml:space="preserve"> and how to apply for </w:t>
      </w:r>
      <w:r w:rsidR="002870FC">
        <w:t>both Job Support and Training Support</w:t>
      </w:r>
      <w:r w:rsidR="00417A6D">
        <w:t>,</w:t>
      </w:r>
      <w:r w:rsidR="002870FC">
        <w:t xml:space="preserve"> is </w:t>
      </w:r>
      <w:r w:rsidR="00627EBF">
        <w:t xml:space="preserve">now </w:t>
      </w:r>
      <w:r w:rsidR="002870FC">
        <w:t xml:space="preserve">available </w:t>
      </w:r>
      <w:r w:rsidR="00627EBF">
        <w:t>all in one</w:t>
      </w:r>
      <w:r w:rsidR="002870FC">
        <w:t xml:space="preserve"> place</w:t>
      </w:r>
      <w:r w:rsidR="00024A6B">
        <w:t xml:space="preserve"> on the same Work and Income NZ webpage</w:t>
      </w:r>
      <w:r w:rsidR="00B336DF">
        <w:t>. MSD advises that</w:t>
      </w:r>
      <w:r w:rsidR="00D95F6D">
        <w:t xml:space="preserve"> </w:t>
      </w:r>
      <w:r w:rsidR="00B336DF">
        <w:t>t</w:t>
      </w:r>
      <w:r w:rsidR="00024A6B">
        <w:t>o be eligible for</w:t>
      </w:r>
      <w:r>
        <w:rPr>
          <w:lang w:eastAsia="en-NZ"/>
        </w:rPr>
        <w:t xml:space="preserve"> </w:t>
      </w:r>
      <w:r w:rsidR="0033441B">
        <w:rPr>
          <w:lang w:eastAsia="en-NZ"/>
        </w:rPr>
        <w:t>Support Funds</w:t>
      </w:r>
      <w:r w:rsidR="00024A6B">
        <w:rPr>
          <w:lang w:eastAsia="en-NZ"/>
        </w:rPr>
        <w:t xml:space="preserve">, </w:t>
      </w:r>
      <w:r w:rsidR="00627EBF">
        <w:rPr>
          <w:lang w:eastAsia="en-NZ"/>
        </w:rPr>
        <w:t xml:space="preserve">you </w:t>
      </w:r>
      <w:r w:rsidR="00A13FAD">
        <w:rPr>
          <w:lang w:eastAsia="en-NZ"/>
        </w:rPr>
        <w:t>must</w:t>
      </w:r>
      <w:r>
        <w:rPr>
          <w:lang w:eastAsia="en-NZ"/>
        </w:rPr>
        <w:t>:</w:t>
      </w:r>
    </w:p>
    <w:p w14:paraId="65BB3055" w14:textId="279232A6" w:rsidR="008E7F9B" w:rsidRDefault="008E7F9B" w:rsidP="008E7F9B">
      <w:pPr>
        <w:pStyle w:val="ListParagraph"/>
        <w:numPr>
          <w:ilvl w:val="0"/>
          <w:numId w:val="5"/>
        </w:numPr>
        <w:spacing w:after="200"/>
      </w:pPr>
      <w:r>
        <w:t>have a disability or a health condition that is likely to last longer than 6 months</w:t>
      </w:r>
      <w:r w:rsidR="00B336DF">
        <w:t>;</w:t>
      </w:r>
    </w:p>
    <w:p w14:paraId="593A13E7" w14:textId="2EADE199" w:rsidR="008E7F9B" w:rsidRDefault="008E7F9B" w:rsidP="008E7F9B">
      <w:pPr>
        <w:pStyle w:val="ListParagraph"/>
        <w:numPr>
          <w:ilvl w:val="0"/>
          <w:numId w:val="5"/>
        </w:numPr>
        <w:spacing w:after="200"/>
      </w:pPr>
      <w:r>
        <w:t>need to pay for extra support to do a job or training because of your health condition or disability, these should be costs a non-disabled person would not have if they do the same job or training</w:t>
      </w:r>
      <w:r w:rsidR="00B336DF">
        <w:t>;</w:t>
      </w:r>
    </w:p>
    <w:p w14:paraId="241A7BC2" w14:textId="5FB47582" w:rsidR="008E7F9B" w:rsidRDefault="008E7F9B" w:rsidP="008E7F9B">
      <w:pPr>
        <w:pStyle w:val="ListParagraph"/>
        <w:numPr>
          <w:ilvl w:val="0"/>
          <w:numId w:val="5"/>
        </w:numPr>
        <w:spacing w:after="200"/>
      </w:pPr>
      <w:r>
        <w:t>be aged 16 to 64 years old</w:t>
      </w:r>
      <w:r w:rsidR="00B336DF">
        <w:t>;</w:t>
      </w:r>
    </w:p>
    <w:p w14:paraId="270A781A" w14:textId="2EA6BA7B" w:rsidR="008E7F9B" w:rsidRDefault="008E7F9B" w:rsidP="008E7F9B">
      <w:pPr>
        <w:pStyle w:val="ListParagraph"/>
        <w:numPr>
          <w:ilvl w:val="0"/>
          <w:numId w:val="5"/>
        </w:numPr>
        <w:spacing w:after="200"/>
      </w:pPr>
      <w:r>
        <w:t>be ordinarily resident in New Zealand</w:t>
      </w:r>
      <w:r w:rsidR="00B336DF">
        <w:t>; and</w:t>
      </w:r>
    </w:p>
    <w:p w14:paraId="028C64F8" w14:textId="4D4CC1F2" w:rsidR="008E7F9B" w:rsidRDefault="008E7F9B" w:rsidP="008E7F9B">
      <w:pPr>
        <w:pStyle w:val="ListParagraph"/>
        <w:numPr>
          <w:ilvl w:val="0"/>
          <w:numId w:val="5"/>
        </w:numPr>
        <w:spacing w:after="200"/>
      </w:pPr>
      <w:r>
        <w:t>be either a New Zealand citizen or resident with the right to work, a refugee or protected person, or a temporary class visa holder with the right to work</w:t>
      </w:r>
      <w:r w:rsidR="00B336DF">
        <w:t>.</w:t>
      </w:r>
    </w:p>
    <w:p w14:paraId="4900C69B" w14:textId="0EA2516F" w:rsidR="00E3530F" w:rsidRPr="00057FA4" w:rsidRDefault="00E3530F" w:rsidP="00E3530F">
      <w:pPr>
        <w:spacing w:after="200"/>
      </w:pPr>
      <w:r w:rsidRPr="00E3530F">
        <w:t xml:space="preserve">You </w:t>
      </w:r>
      <w:r w:rsidR="00B336DF">
        <w:t xml:space="preserve">are not eligible for </w:t>
      </w:r>
      <w:r w:rsidR="0033441B">
        <w:t>Job</w:t>
      </w:r>
      <w:r w:rsidR="0033441B" w:rsidRPr="00E3530F">
        <w:t xml:space="preserve"> Support </w:t>
      </w:r>
      <w:r w:rsidR="0033441B">
        <w:t xml:space="preserve">or </w:t>
      </w:r>
      <w:r w:rsidRPr="00E3530F">
        <w:t>Training Support if ACC or the Ministry of Health are already covering your job or training costs</w:t>
      </w:r>
      <w:r w:rsidR="00B336DF">
        <w:t>.</w:t>
      </w:r>
    </w:p>
    <w:p w14:paraId="40318625" w14:textId="519B4DCD" w:rsidR="00D32EED" w:rsidRPr="00CE77C2" w:rsidRDefault="00B336DF" w:rsidP="00D32EED">
      <w:pPr>
        <w:rPr>
          <w:lang w:eastAsia="en-NZ"/>
        </w:rPr>
      </w:pPr>
      <w:r>
        <w:lastRenderedPageBreak/>
        <w:t xml:space="preserve">Disabled people can apply for </w:t>
      </w:r>
      <w:r w:rsidR="00D32EED">
        <w:t xml:space="preserve">Job Support </w:t>
      </w:r>
      <w:r>
        <w:t>if they are in</w:t>
      </w:r>
      <w:r w:rsidR="00D32EED">
        <w:t xml:space="preserve"> employment or self-employment. However, </w:t>
      </w:r>
      <w:r>
        <w:t xml:space="preserve">eligibility </w:t>
      </w:r>
      <w:r w:rsidR="00D32EED">
        <w:t>criteria differ between the two.</w:t>
      </w:r>
      <w:r w:rsidR="00B829D9">
        <w:rPr>
          <w:rStyle w:val="EndnoteReference"/>
        </w:rPr>
        <w:endnoteReference w:id="7"/>
      </w:r>
      <w:r w:rsidR="0024565D">
        <w:rPr>
          <w:lang w:eastAsia="en-NZ"/>
        </w:rPr>
        <w:t xml:space="preserve"> </w:t>
      </w:r>
      <w:r w:rsidR="00D32EED">
        <w:rPr>
          <w:lang w:eastAsia="en-NZ"/>
        </w:rPr>
        <w:t>Disabled people in employment are eligible for Job Support</w:t>
      </w:r>
      <w:r w:rsidR="0062043F">
        <w:rPr>
          <w:lang w:eastAsia="en-NZ"/>
        </w:rPr>
        <w:t xml:space="preserve"> </w:t>
      </w:r>
      <w:r w:rsidR="00D32EED">
        <w:rPr>
          <w:lang w:eastAsia="en-NZ"/>
        </w:rPr>
        <w:t>if their job is considered open employment, meaning that anyone can apply for the job and the job is not reserved or created for a person with a disability. They must also have an employment contract that sets out conditions of employment, and the job must pay at least the adult minimum wage, or a similar rate of pay that would be paid to a non-disabled person doing the same job.</w:t>
      </w:r>
      <w:r w:rsidR="0024565D">
        <w:rPr>
          <w:lang w:eastAsia="en-NZ"/>
        </w:rPr>
        <w:t xml:space="preserve"> </w:t>
      </w:r>
      <w:r w:rsidR="00D32EED">
        <w:rPr>
          <w:lang w:eastAsia="en-NZ"/>
        </w:rPr>
        <w:t>There are some situations where a person would not be eligible. For example, if they are employed by an organisation that receives funding from any other government source to provide job opportunities</w:t>
      </w:r>
      <w:r w:rsidR="006C446E">
        <w:rPr>
          <w:lang w:eastAsia="en-NZ"/>
        </w:rPr>
        <w:t>.</w:t>
      </w:r>
    </w:p>
    <w:p w14:paraId="620220A3" w14:textId="786B553A" w:rsidR="00E921EB" w:rsidRDefault="00B336DF" w:rsidP="00243103">
      <w:pPr>
        <w:rPr>
          <w:lang w:eastAsia="en-NZ"/>
        </w:rPr>
      </w:pPr>
      <w:r>
        <w:rPr>
          <w:lang w:eastAsia="en-NZ"/>
        </w:rPr>
        <w:t>When self-employed, d</w:t>
      </w:r>
      <w:r w:rsidR="00D32EED">
        <w:rPr>
          <w:lang w:eastAsia="en-NZ"/>
        </w:rPr>
        <w:t xml:space="preserve">isabled </w:t>
      </w:r>
      <w:r>
        <w:rPr>
          <w:lang w:eastAsia="en-NZ"/>
        </w:rPr>
        <w:t>p</w:t>
      </w:r>
      <w:r w:rsidR="00D32EED">
        <w:rPr>
          <w:lang w:eastAsia="en-NZ"/>
        </w:rPr>
        <w:t xml:space="preserve">eople </w:t>
      </w:r>
      <w:r>
        <w:rPr>
          <w:lang w:eastAsia="en-NZ"/>
        </w:rPr>
        <w:t xml:space="preserve">seeking </w:t>
      </w:r>
      <w:r w:rsidR="00D32EED">
        <w:rPr>
          <w:lang w:eastAsia="en-NZ"/>
        </w:rPr>
        <w:t>Job Support</w:t>
      </w:r>
      <w:r>
        <w:rPr>
          <w:lang w:eastAsia="en-NZ"/>
        </w:rPr>
        <w:t xml:space="preserve"> </w:t>
      </w:r>
      <w:r w:rsidR="00D32EED">
        <w:rPr>
          <w:lang w:eastAsia="en-NZ"/>
        </w:rPr>
        <w:t xml:space="preserve">must meet different criteria. For example, they must receive the net returns of the business, work at least 15 hours per week, receive a wage or salary that a person without a disability would receive for doing the same job, and </w:t>
      </w:r>
      <w:r w:rsidR="006C446E">
        <w:rPr>
          <w:lang w:eastAsia="en-NZ"/>
        </w:rPr>
        <w:t>demonstrate to be</w:t>
      </w:r>
      <w:r w:rsidR="00D32EED">
        <w:rPr>
          <w:lang w:eastAsia="en-NZ"/>
        </w:rPr>
        <w:t xml:space="preserve"> receiving at least a minimum wage. </w:t>
      </w:r>
      <w:r w:rsidR="006C446E">
        <w:rPr>
          <w:lang w:eastAsia="en-NZ"/>
        </w:rPr>
        <w:t>Additionally, t</w:t>
      </w:r>
      <w:r w:rsidR="00D32EED">
        <w:rPr>
          <w:lang w:eastAsia="en-NZ"/>
        </w:rPr>
        <w:t>he business must not be a hobby-type operation, meaning its purpose must be to</w:t>
      </w:r>
      <w:r w:rsidR="006C446E">
        <w:rPr>
          <w:lang w:eastAsia="en-NZ"/>
        </w:rPr>
        <w:t xml:space="preserve"> create</w:t>
      </w:r>
      <w:r w:rsidR="00D32EED">
        <w:rPr>
          <w:lang w:eastAsia="en-NZ"/>
        </w:rPr>
        <w:t xml:space="preserve"> a profit.</w:t>
      </w:r>
      <w:bookmarkStart w:id="5" w:name="_Toc419146845"/>
      <w:bookmarkStart w:id="6" w:name="_Toc519106819"/>
      <w:bookmarkStart w:id="7" w:name="_Toc519106942"/>
      <w:bookmarkStart w:id="8" w:name="_Toc519106947"/>
      <w:bookmarkEnd w:id="1"/>
    </w:p>
    <w:p w14:paraId="5A449386" w14:textId="27B694B8" w:rsidR="000B2713" w:rsidRPr="00DD4288" w:rsidRDefault="000B2713" w:rsidP="0061495B">
      <w:pPr>
        <w:pStyle w:val="Heading2"/>
      </w:pPr>
      <w:bookmarkStart w:id="9" w:name="_Toc133076237"/>
      <w:r>
        <w:t>Disabled People</w:t>
      </w:r>
      <w:r w:rsidR="00474CF0">
        <w:t xml:space="preserve"> in the </w:t>
      </w:r>
      <w:r w:rsidR="001E12CA">
        <w:t>l</w:t>
      </w:r>
      <w:r w:rsidR="00474CF0">
        <w:t xml:space="preserve">abour </w:t>
      </w:r>
      <w:r w:rsidR="001E12CA">
        <w:t>m</w:t>
      </w:r>
      <w:r w:rsidR="00474CF0">
        <w:t>arket</w:t>
      </w:r>
      <w:bookmarkEnd w:id="9"/>
      <w:r w:rsidR="00474CF0">
        <w:t xml:space="preserve"> </w:t>
      </w:r>
    </w:p>
    <w:p w14:paraId="6448E061" w14:textId="07EF3313" w:rsidR="00243103" w:rsidRDefault="00243103" w:rsidP="00243103">
      <w:r>
        <w:t xml:space="preserve">The most recent Statistics NZ Disability Survey reports that </w:t>
      </w:r>
      <w:r w:rsidRPr="00DD4288">
        <w:t>24</w:t>
      </w:r>
      <w:r>
        <w:t xml:space="preserve"> percent</w:t>
      </w:r>
      <w:r w:rsidRPr="00DD4288">
        <w:t xml:space="preserve"> of the total New Zealand population</w:t>
      </w:r>
      <w:r>
        <w:t xml:space="preserve"> are disabled, and that only </w:t>
      </w:r>
      <w:r w:rsidRPr="00DD4288">
        <w:t>45</w:t>
      </w:r>
      <w:r>
        <w:t xml:space="preserve"> percent </w:t>
      </w:r>
      <w:r w:rsidRPr="00DD4288">
        <w:t xml:space="preserve">of disabled adults </w:t>
      </w:r>
      <w:r>
        <w:t xml:space="preserve">are </w:t>
      </w:r>
      <w:r w:rsidRPr="00DD4288">
        <w:t>employed compared to 72</w:t>
      </w:r>
      <w:r>
        <w:t xml:space="preserve"> percent</w:t>
      </w:r>
      <w:r w:rsidRPr="00DD4288">
        <w:t xml:space="preserve"> of non-disabled adults</w:t>
      </w:r>
      <w:r>
        <w:t>.</w:t>
      </w:r>
      <w:r>
        <w:rPr>
          <w:rStyle w:val="EndnoteReference"/>
        </w:rPr>
        <w:endnoteReference w:id="8"/>
      </w:r>
      <w:r w:rsidRPr="00243103">
        <w:t xml:space="preserve"> </w:t>
      </w:r>
      <w:r>
        <w:t xml:space="preserve">At the time of writing this report, </w:t>
      </w:r>
      <w:r w:rsidR="003603DC">
        <w:t xml:space="preserve">the most recent </w:t>
      </w:r>
      <w:r>
        <w:t>Statistics NZ labour market statistics data for disability show</w:t>
      </w:r>
      <w:r w:rsidR="00B336DF">
        <w:t>ed</w:t>
      </w:r>
      <w:r>
        <w:t xml:space="preserve"> that </w:t>
      </w:r>
      <w:r>
        <w:rPr>
          <w:rStyle w:val="f7rl1if4"/>
        </w:rPr>
        <w:t xml:space="preserve">41.5 percent of disabled people were employed </w:t>
      </w:r>
      <w:r w:rsidR="00B336DF">
        <w:rPr>
          <w:rStyle w:val="f7rl1if4"/>
        </w:rPr>
        <w:t xml:space="preserve">in the June 2022 quarter </w:t>
      </w:r>
      <w:r>
        <w:rPr>
          <w:rStyle w:val="f7rl1if4"/>
        </w:rPr>
        <w:t>compared with 80.4 percent of non-disabled people.</w:t>
      </w:r>
      <w:r>
        <w:rPr>
          <w:rStyle w:val="EndnoteReference"/>
        </w:rPr>
        <w:endnoteReference w:id="9"/>
      </w:r>
      <w:r>
        <w:rPr>
          <w:rStyle w:val="f7rl1if4"/>
        </w:rPr>
        <w:t xml:space="preserve"> This gap has widened since the </w:t>
      </w:r>
      <w:r w:rsidR="003603DC">
        <w:rPr>
          <w:rStyle w:val="f7rl1if4"/>
        </w:rPr>
        <w:t>previous reporting period.</w:t>
      </w:r>
      <w:r w:rsidR="00523D02">
        <w:rPr>
          <w:rStyle w:val="EndnoteReference"/>
        </w:rPr>
        <w:endnoteReference w:id="10"/>
      </w:r>
    </w:p>
    <w:p w14:paraId="5306711C" w14:textId="7A2C427B" w:rsidR="00525E73" w:rsidRDefault="00DB5B2D" w:rsidP="00525E73">
      <w:r>
        <w:t>There are many systemic barriers that affect disabled people’s participation in the labour market.</w:t>
      </w:r>
      <w:r>
        <w:rPr>
          <w:rStyle w:val="EndnoteReference"/>
        </w:rPr>
        <w:endnoteReference w:id="11"/>
      </w:r>
      <w:r>
        <w:t xml:space="preserve"> On top of societal attitudes, assumptions, and </w:t>
      </w:r>
      <w:r w:rsidR="00B336DF">
        <w:t xml:space="preserve">the </w:t>
      </w:r>
      <w:r>
        <w:t xml:space="preserve">devaluation of disabled people, digital inequity and </w:t>
      </w:r>
      <w:r w:rsidR="00B336DF">
        <w:t xml:space="preserve">a </w:t>
      </w:r>
      <w:r>
        <w:t>lack of accessible and affordable transport and housing also present significant barrier</w:t>
      </w:r>
      <w:r w:rsidR="00277740">
        <w:t xml:space="preserve">s. </w:t>
      </w:r>
      <w:r w:rsidR="00525E73">
        <w:rPr>
          <w:rStyle w:val="intro"/>
        </w:rPr>
        <w:t>E</w:t>
      </w:r>
      <w:r w:rsidR="00525E73">
        <w:t>mployment plays an important role in a person’s well</w:t>
      </w:r>
      <w:r w:rsidR="00D95F6D">
        <w:t>-</w:t>
      </w:r>
      <w:r w:rsidR="00525E73">
        <w:t>being through providing</w:t>
      </w:r>
      <w:r w:rsidR="00277740">
        <w:t xml:space="preserve"> not just </w:t>
      </w:r>
      <w:r w:rsidR="00525E73">
        <w:t xml:space="preserve">income </w:t>
      </w:r>
      <w:r w:rsidR="00B336DF">
        <w:t>but “</w:t>
      </w:r>
      <w:r w:rsidR="00525E73">
        <w:t xml:space="preserve">social connection and a </w:t>
      </w:r>
      <w:r w:rsidR="00525E73">
        <w:lastRenderedPageBreak/>
        <w:t>sense of purpose”</w:t>
      </w:r>
      <w:r w:rsidR="00523D02">
        <w:t>.</w:t>
      </w:r>
      <w:r w:rsidR="00525E73" w:rsidRPr="00AD0D7F">
        <w:rPr>
          <w:rStyle w:val="EndnoteReference"/>
        </w:rPr>
        <w:t xml:space="preserve"> </w:t>
      </w:r>
      <w:r w:rsidR="00525E73">
        <w:rPr>
          <w:rStyle w:val="EndnoteReference"/>
        </w:rPr>
        <w:endnoteReference w:id="12"/>
      </w:r>
      <w:r w:rsidR="00525E73">
        <w:t xml:space="preserve"> However, t</w:t>
      </w:r>
      <w:r w:rsidR="00525E73" w:rsidRPr="0030595F">
        <w:t xml:space="preserve">here </w:t>
      </w:r>
      <w:r w:rsidR="00B336DF">
        <w:t>continues to be a</w:t>
      </w:r>
      <w:r w:rsidR="00525E73" w:rsidRPr="0030595F">
        <w:t xml:space="preserve"> disproportionate rate of unemployment for disabled people in New Zealand</w:t>
      </w:r>
      <w:r w:rsidR="00525E73">
        <w:t xml:space="preserve">. </w:t>
      </w:r>
    </w:p>
    <w:p w14:paraId="168A08DC" w14:textId="71C792AB" w:rsidR="006D6E96" w:rsidRDefault="006A17EC" w:rsidP="00E35B7A">
      <w:pPr>
        <w:rPr>
          <w:rStyle w:val="intro"/>
        </w:rPr>
      </w:pPr>
      <w:r>
        <w:rPr>
          <w:rStyle w:val="intro"/>
        </w:rPr>
        <w:t>Working Matters, an action plan to ensure disabled people and people with health conditions have an equal opportunity to employment, was released</w:t>
      </w:r>
      <w:r w:rsidR="00762213">
        <w:rPr>
          <w:rStyle w:val="intro"/>
        </w:rPr>
        <w:t xml:space="preserve"> by MSD</w:t>
      </w:r>
      <w:r>
        <w:rPr>
          <w:rStyle w:val="intro"/>
        </w:rPr>
        <w:t xml:space="preserve"> in July 2020. It state</w:t>
      </w:r>
      <w:r w:rsidR="002F0527">
        <w:rPr>
          <w:rStyle w:val="intro"/>
        </w:rPr>
        <w:t>d</w:t>
      </w:r>
      <w:r>
        <w:rPr>
          <w:rStyle w:val="intro"/>
        </w:rPr>
        <w:t xml:space="preserve"> that </w:t>
      </w:r>
      <w:r w:rsidRPr="0030595F">
        <w:t>7</w:t>
      </w:r>
      <w:r>
        <w:t>4</w:t>
      </w:r>
      <w:r w:rsidR="00DF42EB">
        <w:t xml:space="preserve"> percent</w:t>
      </w:r>
      <w:r w:rsidRPr="0030595F">
        <w:t xml:space="preserve"> of </w:t>
      </w:r>
      <w:r>
        <w:t>disabled people not</w:t>
      </w:r>
      <w:r w:rsidRPr="0030595F">
        <w:t xml:space="preserve"> </w:t>
      </w:r>
      <w:r>
        <w:t>in paid work would like</w:t>
      </w:r>
      <w:r w:rsidRPr="0030595F">
        <w:t xml:space="preserve"> to be employed</w:t>
      </w:r>
      <w:r>
        <w:t xml:space="preserve"> if a job was available.</w:t>
      </w:r>
      <w:r>
        <w:rPr>
          <w:rStyle w:val="EndnoteReference"/>
        </w:rPr>
        <w:endnoteReference w:id="13"/>
      </w:r>
      <w:r w:rsidR="004273FD">
        <w:t xml:space="preserve"> </w:t>
      </w:r>
      <w:r w:rsidR="00C96FD1">
        <w:t>Despite the</w:t>
      </w:r>
      <w:r w:rsidR="00A71089">
        <w:t xml:space="preserve"> demand for workers currently being at a record high,</w:t>
      </w:r>
      <w:r w:rsidR="00A71089">
        <w:rPr>
          <w:rStyle w:val="EndnoteReference"/>
        </w:rPr>
        <w:endnoteReference w:id="14"/>
      </w:r>
      <w:r w:rsidR="00A71089">
        <w:t xml:space="preserve"> </w:t>
      </w:r>
      <w:r w:rsidR="00131E72">
        <w:t>the</w:t>
      </w:r>
      <w:r w:rsidR="00C96FD1">
        <w:t xml:space="preserve">re </w:t>
      </w:r>
      <w:r w:rsidR="00730AE2">
        <w:t xml:space="preserve">is still </w:t>
      </w:r>
      <w:r w:rsidR="00762213">
        <w:t xml:space="preserve">clearly </w:t>
      </w:r>
      <w:r w:rsidR="00730AE2">
        <w:t xml:space="preserve">an underutilised disabled workforce, </w:t>
      </w:r>
      <w:r w:rsidR="008D51E8">
        <w:t xml:space="preserve">highlighting the </w:t>
      </w:r>
      <w:r w:rsidR="00131E72">
        <w:t xml:space="preserve">profound impact that </w:t>
      </w:r>
      <w:r w:rsidR="00E35B7A">
        <w:rPr>
          <w:rStyle w:val="intro"/>
        </w:rPr>
        <w:t>barriers have on</w:t>
      </w:r>
      <w:r w:rsidR="00131E72">
        <w:rPr>
          <w:rStyle w:val="intro"/>
        </w:rPr>
        <w:t xml:space="preserve"> the</w:t>
      </w:r>
      <w:r w:rsidR="00E35B7A">
        <w:rPr>
          <w:rStyle w:val="intro"/>
        </w:rPr>
        <w:t xml:space="preserve"> employment </w:t>
      </w:r>
      <w:r w:rsidR="00131E72">
        <w:rPr>
          <w:rStyle w:val="intro"/>
        </w:rPr>
        <w:t>of disabled people</w:t>
      </w:r>
      <w:r w:rsidR="008D51E8">
        <w:rPr>
          <w:rStyle w:val="intro"/>
        </w:rPr>
        <w:t>.</w:t>
      </w:r>
    </w:p>
    <w:p w14:paraId="4DC1E477" w14:textId="3653FB68" w:rsidR="00893E18" w:rsidRDefault="00A72313" w:rsidP="00D32EED">
      <w:r>
        <w:t>In contrast</w:t>
      </w:r>
      <w:r w:rsidR="007603DF">
        <w:t>,</w:t>
      </w:r>
      <w:r w:rsidR="0025493A">
        <w:t xml:space="preserve"> </w:t>
      </w:r>
      <w:r>
        <w:t>d</w:t>
      </w:r>
      <w:r w:rsidR="0025493A">
        <w:t>isabled</w:t>
      </w:r>
      <w:r w:rsidR="00D32EED">
        <w:t xml:space="preserve"> </w:t>
      </w:r>
      <w:r w:rsidR="0025493A">
        <w:t xml:space="preserve">people </w:t>
      </w:r>
      <w:r w:rsidR="00D32EED">
        <w:t>have a higher rate of self-employment at 24 percent, compared with 17 percent of the non-disabled working</w:t>
      </w:r>
      <w:r w:rsidR="00B336DF">
        <w:t>-age</w:t>
      </w:r>
      <w:r w:rsidR="00D32EED">
        <w:t xml:space="preserve"> population.</w:t>
      </w:r>
      <w:r w:rsidR="00523D02">
        <w:rPr>
          <w:rStyle w:val="EndnoteReference"/>
        </w:rPr>
        <w:endnoteReference w:id="15"/>
      </w:r>
      <w:r w:rsidR="00523D02">
        <w:rPr>
          <w:rStyle w:val="f7rl1if4"/>
        </w:rPr>
        <w:t xml:space="preserve"> </w:t>
      </w:r>
      <w:r w:rsidR="00D32EED">
        <w:t>However, the support needs of disabled people entering self-employment can be higher than for non-disabled people embarking on the same journey.</w:t>
      </w:r>
      <w:r w:rsidR="00D32EED">
        <w:rPr>
          <w:rStyle w:val="EndnoteReference"/>
        </w:rPr>
        <w:endnoteReference w:id="16"/>
      </w:r>
      <w:r w:rsidR="00277740">
        <w:t xml:space="preserve"> </w:t>
      </w:r>
    </w:p>
    <w:p w14:paraId="2AFBCF18" w14:textId="46C048CF" w:rsidR="00D32EED" w:rsidRPr="006F2712" w:rsidRDefault="007861E6" w:rsidP="0061495B">
      <w:pPr>
        <w:pStyle w:val="Heading2"/>
      </w:pPr>
      <w:bookmarkStart w:id="10" w:name="_Toc106639965"/>
      <w:bookmarkStart w:id="11" w:name="_Toc133076238"/>
      <w:r>
        <w:t xml:space="preserve">Data on </w:t>
      </w:r>
      <w:r w:rsidR="00D32EED">
        <w:t xml:space="preserve">Support </w:t>
      </w:r>
      <w:bookmarkEnd w:id="10"/>
      <w:r w:rsidR="00D52408">
        <w:t>Funds</w:t>
      </w:r>
      <w:bookmarkEnd w:id="11"/>
    </w:p>
    <w:p w14:paraId="0628C28E" w14:textId="4E04A53D" w:rsidR="00571354" w:rsidRDefault="004F696F" w:rsidP="00571354">
      <w:pPr>
        <w:rPr>
          <w:rFonts w:eastAsia="Calibri" w:cs="Arial"/>
          <w:b/>
          <w:bCs/>
          <w:szCs w:val="24"/>
        </w:rPr>
      </w:pPr>
      <w:r>
        <w:rPr>
          <w:rStyle w:val="IntenseEmphasis"/>
          <w:b w:val="0"/>
          <w:bCs w:val="0"/>
          <w:i w:val="0"/>
          <w:iCs w:val="0"/>
          <w:color w:val="auto"/>
        </w:rPr>
        <w:t xml:space="preserve">Across </w:t>
      </w:r>
      <w:r w:rsidR="00571354">
        <w:rPr>
          <w:rStyle w:val="IntenseEmphasis"/>
          <w:b w:val="0"/>
          <w:bCs w:val="0"/>
          <w:i w:val="0"/>
          <w:iCs w:val="0"/>
          <w:color w:val="auto"/>
        </w:rPr>
        <w:t xml:space="preserve">2021 and </w:t>
      </w:r>
      <w:r w:rsidR="00D32EED" w:rsidRPr="00B7707A">
        <w:rPr>
          <w:rStyle w:val="IntenseEmphasis"/>
          <w:b w:val="0"/>
          <w:bCs w:val="0"/>
          <w:i w:val="0"/>
          <w:iCs w:val="0"/>
          <w:color w:val="auto"/>
        </w:rPr>
        <w:t xml:space="preserve">June 2022, </w:t>
      </w:r>
      <w:r>
        <w:rPr>
          <w:rStyle w:val="IntenseEmphasis"/>
          <w:b w:val="0"/>
          <w:bCs w:val="0"/>
          <w:i w:val="0"/>
          <w:iCs w:val="0"/>
          <w:color w:val="auto"/>
        </w:rPr>
        <w:t>a number of Parliamentary Written Questions were submitted to the Minister</w:t>
      </w:r>
      <w:r w:rsidR="00BD1249">
        <w:rPr>
          <w:rStyle w:val="IntenseEmphasis"/>
          <w:b w:val="0"/>
          <w:bCs w:val="0"/>
          <w:i w:val="0"/>
          <w:iCs w:val="0"/>
          <w:color w:val="auto"/>
        </w:rPr>
        <w:t xml:space="preserve"> of Disability Issues and the </w:t>
      </w:r>
      <w:r w:rsidR="00BD1249">
        <w:t>Minister for Social Development and Employment.</w:t>
      </w:r>
      <w:r w:rsidR="00D32EED" w:rsidRPr="00B7707A">
        <w:rPr>
          <w:rStyle w:val="IntenseEmphasis"/>
          <w:b w:val="0"/>
          <w:bCs w:val="0"/>
          <w:i w:val="0"/>
          <w:iCs w:val="0"/>
          <w:color w:val="auto"/>
        </w:rPr>
        <w:t xml:space="preserve"> </w:t>
      </w:r>
      <w:r w:rsidR="006131E8">
        <w:rPr>
          <w:rStyle w:val="IntenseEmphasis"/>
          <w:b w:val="0"/>
          <w:bCs w:val="0"/>
          <w:i w:val="0"/>
          <w:iCs w:val="0"/>
          <w:color w:val="auto"/>
        </w:rPr>
        <w:t>The</w:t>
      </w:r>
      <w:r w:rsidR="00D32EED" w:rsidRPr="00B7707A">
        <w:rPr>
          <w:rStyle w:val="IntenseEmphasis"/>
          <w:b w:val="0"/>
          <w:bCs w:val="0"/>
          <w:i w:val="0"/>
          <w:iCs w:val="0"/>
          <w:color w:val="auto"/>
        </w:rPr>
        <w:t xml:space="preserve"> data</w:t>
      </w:r>
      <w:r w:rsidR="00B336DF">
        <w:rPr>
          <w:rStyle w:val="IntenseEmphasis"/>
          <w:b w:val="0"/>
          <w:bCs w:val="0"/>
          <w:i w:val="0"/>
          <w:iCs w:val="0"/>
          <w:color w:val="auto"/>
        </w:rPr>
        <w:t xml:space="preserve"> in their responses</w:t>
      </w:r>
      <w:r w:rsidR="00D32EED" w:rsidRPr="00B7707A">
        <w:rPr>
          <w:rStyle w:val="IntenseEmphasis"/>
          <w:b w:val="0"/>
          <w:bCs w:val="0"/>
          <w:i w:val="0"/>
          <w:iCs w:val="0"/>
          <w:color w:val="auto"/>
        </w:rPr>
        <w:t xml:space="preserve"> refer</w:t>
      </w:r>
      <w:r w:rsidR="005844BB">
        <w:rPr>
          <w:rStyle w:val="IntenseEmphasis"/>
          <w:b w:val="0"/>
          <w:bCs w:val="0"/>
          <w:i w:val="0"/>
          <w:iCs w:val="0"/>
          <w:color w:val="auto"/>
        </w:rPr>
        <w:t>red</w:t>
      </w:r>
      <w:r w:rsidR="00D32EED" w:rsidRPr="00B7707A">
        <w:rPr>
          <w:rStyle w:val="IntenseEmphasis"/>
          <w:b w:val="0"/>
          <w:bCs w:val="0"/>
          <w:i w:val="0"/>
          <w:iCs w:val="0"/>
          <w:color w:val="auto"/>
        </w:rPr>
        <w:t xml:space="preserve"> to both employed and self-employed disabled people accessing Job Support and Training Support over the past ten years</w:t>
      </w:r>
      <w:r w:rsidR="00216CA1">
        <w:rPr>
          <w:rStyle w:val="IntenseEmphasis"/>
          <w:b w:val="0"/>
          <w:bCs w:val="0"/>
          <w:i w:val="0"/>
          <w:iCs w:val="0"/>
          <w:color w:val="auto"/>
        </w:rPr>
        <w:t xml:space="preserve"> (see Appendix </w:t>
      </w:r>
      <w:r w:rsidR="00000F9A">
        <w:rPr>
          <w:rStyle w:val="IntenseEmphasis"/>
          <w:b w:val="0"/>
          <w:bCs w:val="0"/>
          <w:i w:val="0"/>
          <w:iCs w:val="0"/>
          <w:color w:val="auto"/>
        </w:rPr>
        <w:t>B and C)</w:t>
      </w:r>
      <w:r w:rsidR="00D32EED" w:rsidRPr="00B7707A">
        <w:rPr>
          <w:rStyle w:val="IntenseEmphasis"/>
          <w:b w:val="0"/>
          <w:bCs w:val="0"/>
          <w:i w:val="0"/>
          <w:iCs w:val="0"/>
          <w:color w:val="auto"/>
        </w:rPr>
        <w:t>.</w:t>
      </w:r>
    </w:p>
    <w:p w14:paraId="08904842" w14:textId="3C6B8E07" w:rsidR="00D32EED" w:rsidRPr="00DE1121" w:rsidRDefault="00D32EED" w:rsidP="007861E6">
      <w:pPr>
        <w:pStyle w:val="Heading3"/>
      </w:pPr>
      <w:bookmarkStart w:id="12" w:name="_Toc106198808"/>
      <w:bookmarkStart w:id="13" w:name="_Toc106351802"/>
      <w:bookmarkStart w:id="14" w:name="_Toc106353135"/>
      <w:bookmarkStart w:id="15" w:name="_Toc106381561"/>
      <w:bookmarkStart w:id="16" w:name="_Toc106639966"/>
      <w:bookmarkStart w:id="17" w:name="_Toc107500743"/>
      <w:bookmarkStart w:id="18" w:name="_Toc107502738"/>
      <w:bookmarkStart w:id="19" w:name="_Toc108022113"/>
      <w:bookmarkStart w:id="20" w:name="_Toc133076239"/>
      <w:r w:rsidRPr="000D1039">
        <w:t>Budget</w:t>
      </w:r>
      <w:r w:rsidRPr="00DE1121">
        <w:t xml:space="preserve"> and </w:t>
      </w:r>
      <w:r w:rsidR="001E12CA">
        <w:t>s</w:t>
      </w:r>
      <w:r w:rsidRPr="00DE1121">
        <w:t>pending</w:t>
      </w:r>
      <w:bookmarkEnd w:id="12"/>
      <w:bookmarkEnd w:id="13"/>
      <w:bookmarkEnd w:id="14"/>
      <w:bookmarkEnd w:id="15"/>
      <w:bookmarkEnd w:id="16"/>
      <w:bookmarkEnd w:id="17"/>
      <w:bookmarkEnd w:id="18"/>
      <w:bookmarkEnd w:id="19"/>
      <w:bookmarkEnd w:id="20"/>
    </w:p>
    <w:p w14:paraId="4219A33A" w14:textId="2343E0FD" w:rsidR="00D32EED" w:rsidRPr="00FC1243" w:rsidRDefault="00D32EED" w:rsidP="00D32EED">
      <w:pPr>
        <w:rPr>
          <w:rFonts w:eastAsia="Calibri"/>
        </w:rPr>
      </w:pPr>
      <w:r w:rsidRPr="00581985">
        <w:t>The total allocated budget for Job Support dropped from $7,526,491</w:t>
      </w:r>
      <w:r w:rsidRPr="00581985">
        <w:rPr>
          <w:rFonts w:eastAsia="Calibri"/>
        </w:rPr>
        <w:t xml:space="preserve"> in the 2012/13 financial year to </w:t>
      </w:r>
      <w:r w:rsidRPr="00581985">
        <w:t>$6,333,659 in 2020/21.</w:t>
      </w:r>
      <w:r w:rsidR="00581985" w:rsidRPr="00581985">
        <w:rPr>
          <w:rStyle w:val="EndnoteReference"/>
        </w:rPr>
        <w:endnoteReference w:id="17"/>
      </w:r>
      <w:r>
        <w:t xml:space="preserve"> This budget </w:t>
      </w:r>
      <w:r w:rsidR="0026683C">
        <w:t xml:space="preserve">allocation </w:t>
      </w:r>
      <w:r>
        <w:t xml:space="preserve">provides funding for both Job Support and </w:t>
      </w:r>
      <w:r w:rsidR="006131E8">
        <w:t xml:space="preserve">Training </w:t>
      </w:r>
      <w:r>
        <w:t>Support</w:t>
      </w:r>
      <w:r w:rsidR="00D27E4B">
        <w:t>. A</w:t>
      </w:r>
      <w:r w:rsidR="005844BB">
        <w:t xml:space="preserve">lthough </w:t>
      </w:r>
      <w:r w:rsidR="00D27E4B">
        <w:t xml:space="preserve">it is </w:t>
      </w:r>
      <w:r w:rsidR="005844BB">
        <w:t>a</w:t>
      </w:r>
      <w:r>
        <w:t>cknowledg</w:t>
      </w:r>
      <w:r w:rsidR="005844BB">
        <w:t>e</w:t>
      </w:r>
      <w:r w:rsidR="00D27E4B">
        <w:t xml:space="preserve">d </w:t>
      </w:r>
      <w:r>
        <w:t xml:space="preserve">not all people </w:t>
      </w:r>
      <w:r w:rsidR="00D27E4B">
        <w:t xml:space="preserve">that </w:t>
      </w:r>
      <w:r>
        <w:t xml:space="preserve">require support </w:t>
      </w:r>
      <w:r w:rsidR="00D27E4B">
        <w:t>need to access</w:t>
      </w:r>
      <w:r>
        <w:t xml:space="preserve"> the maximum </w:t>
      </w:r>
      <w:r w:rsidR="00D27E4B">
        <w:t>funding amount</w:t>
      </w:r>
      <w:r>
        <w:t xml:space="preserve">, the </w:t>
      </w:r>
      <w:r w:rsidRPr="00581985">
        <w:t xml:space="preserve">2020/21 budget </w:t>
      </w:r>
      <w:r w:rsidR="00835EFE">
        <w:t xml:space="preserve">would theoretically </w:t>
      </w:r>
      <w:r w:rsidR="00D27E4B">
        <w:t xml:space="preserve">only </w:t>
      </w:r>
      <w:r w:rsidR="00AA0DB9">
        <w:t>equate</w:t>
      </w:r>
      <w:r w:rsidR="00835EFE">
        <w:t xml:space="preserve"> </w:t>
      </w:r>
      <w:r w:rsidR="00AA0DB9">
        <w:t>to</w:t>
      </w:r>
      <w:r w:rsidRPr="00581985">
        <w:t xml:space="preserve"> </w:t>
      </w:r>
      <w:r w:rsidR="00835EFE">
        <w:t xml:space="preserve">approximately </w:t>
      </w:r>
      <w:r w:rsidRPr="00581985">
        <w:t xml:space="preserve">375 disabled people accessing the </w:t>
      </w:r>
      <w:r w:rsidR="00D27E4B">
        <w:t>full</w:t>
      </w:r>
      <w:r w:rsidRPr="00581985">
        <w:t xml:space="preserve"> amount</w:t>
      </w:r>
      <w:r w:rsidR="00D27E4B">
        <w:t xml:space="preserve">. This </w:t>
      </w:r>
      <w:r w:rsidR="00835EFE">
        <w:t>in</w:t>
      </w:r>
      <w:r w:rsidRPr="00D66228">
        <w:t>dicat</w:t>
      </w:r>
      <w:r w:rsidR="00D27E4B">
        <w:t>es</w:t>
      </w:r>
      <w:r>
        <w:t xml:space="preserve"> severe underfunding</w:t>
      </w:r>
      <w:r w:rsidR="003C77E2">
        <w:t>.</w:t>
      </w:r>
    </w:p>
    <w:p w14:paraId="19FF775A" w14:textId="388973BB" w:rsidR="00571354" w:rsidRDefault="00D32EED" w:rsidP="00D32EED">
      <w:pPr>
        <w:rPr>
          <w:rFonts w:eastAsia="Calibri" w:cs="Arial"/>
          <w:szCs w:val="24"/>
        </w:rPr>
      </w:pPr>
      <w:r>
        <w:t>Data</w:t>
      </w:r>
      <w:r w:rsidR="00FC1243">
        <w:t xml:space="preserve"> also</w:t>
      </w:r>
      <w:r>
        <w:t xml:space="preserve"> shows that there has been a steady drop in spending on both Job Support and Training Support. </w:t>
      </w:r>
      <w:r w:rsidRPr="00581985">
        <w:t>For example, the total spend on Job Support in the 2012/13 financial year was $6,457,908 compared to 2020/21, when $4,003,342 was spent.</w:t>
      </w:r>
      <w:r w:rsidR="00581985" w:rsidRPr="00581985">
        <w:rPr>
          <w:rStyle w:val="EndnoteReference"/>
        </w:rPr>
        <w:endnoteReference w:id="18"/>
      </w:r>
      <w:r w:rsidR="00581985">
        <w:t xml:space="preserve"> </w:t>
      </w:r>
      <w:r w:rsidR="00D27E4B">
        <w:t>For Training Support, t</w:t>
      </w:r>
      <w:r w:rsidRPr="00D9787C">
        <w:t>he total spend</w:t>
      </w:r>
      <w:r w:rsidRPr="00A03847">
        <w:t xml:space="preserve"> in the 2012/13 financial year was $648,623 </w:t>
      </w:r>
      <w:r w:rsidRPr="00A03847">
        <w:lastRenderedPageBreak/>
        <w:t>compared to 2020/21, when $112,156 was spent.</w:t>
      </w:r>
      <w:r w:rsidR="00D9787C" w:rsidRPr="00A03847">
        <w:rPr>
          <w:rStyle w:val="EndnoteReference"/>
        </w:rPr>
        <w:endnoteReference w:id="19"/>
      </w:r>
      <w:r w:rsidR="00371078" w:rsidRPr="00A03847">
        <w:t xml:space="preserve"> </w:t>
      </w:r>
      <w:r w:rsidR="001834E7">
        <w:rPr>
          <w:rFonts w:eastAsia="Calibri" w:cs="Arial"/>
          <w:szCs w:val="24"/>
        </w:rPr>
        <w:t>The Minister</w:t>
      </w:r>
      <w:r w:rsidR="00571354" w:rsidRPr="00A03847">
        <w:rPr>
          <w:rFonts w:eastAsia="Calibri" w:cs="Arial"/>
          <w:szCs w:val="24"/>
        </w:rPr>
        <w:t xml:space="preserve"> advised that the average funding per applicant during the 2019/20 financial year was $4,957.00 and the average funding per applicant for the 2020/21 financial year </w:t>
      </w:r>
      <w:r w:rsidR="00D27E4B" w:rsidRPr="00A03847">
        <w:rPr>
          <w:rFonts w:eastAsia="Calibri" w:cs="Arial"/>
          <w:szCs w:val="24"/>
        </w:rPr>
        <w:t>was $4,021.00</w:t>
      </w:r>
      <w:r w:rsidR="00D27E4B">
        <w:rPr>
          <w:rFonts w:eastAsia="Calibri" w:cs="Arial"/>
          <w:szCs w:val="24"/>
        </w:rPr>
        <w:t xml:space="preserve"> </w:t>
      </w:r>
      <w:r w:rsidR="00571354" w:rsidRPr="00A03847">
        <w:rPr>
          <w:rFonts w:eastAsia="Calibri" w:cs="Arial"/>
          <w:szCs w:val="24"/>
        </w:rPr>
        <w:t>as at 31 March 2021.</w:t>
      </w:r>
      <w:r w:rsidR="000A29FE" w:rsidRPr="00A03847">
        <w:rPr>
          <w:rStyle w:val="EndnoteReference"/>
          <w:rFonts w:eastAsia="Calibri" w:cs="Arial"/>
          <w:szCs w:val="24"/>
        </w:rPr>
        <w:endnoteReference w:id="20"/>
      </w:r>
    </w:p>
    <w:p w14:paraId="21265742" w14:textId="330828DF" w:rsidR="005071C3" w:rsidRPr="00371078" w:rsidRDefault="007A7E9C" w:rsidP="00D32EED">
      <w:r>
        <w:t>From</w:t>
      </w:r>
      <w:r w:rsidR="00096811">
        <w:t xml:space="preserve"> the</w:t>
      </w:r>
      <w:r>
        <w:t xml:space="preserve"> Parliamentary Written Questions accessed online, it </w:t>
      </w:r>
      <w:r w:rsidR="001834E7">
        <w:t>has been</w:t>
      </w:r>
      <w:r>
        <w:t xml:space="preserve"> calculated that there </w:t>
      </w:r>
      <w:r w:rsidR="0021662F">
        <w:t>has been a</w:t>
      </w:r>
      <w:r>
        <w:t xml:space="preserve"> </w:t>
      </w:r>
      <w:r w:rsidR="005071C3">
        <w:t>16 percent drop in a</w:t>
      </w:r>
      <w:r>
        <w:t>llocated budget</w:t>
      </w:r>
      <w:r w:rsidR="005071C3">
        <w:t xml:space="preserve">, </w:t>
      </w:r>
      <w:r w:rsidR="0021662F">
        <w:t xml:space="preserve">a </w:t>
      </w:r>
      <w:r w:rsidR="005071C3">
        <w:t xml:space="preserve">38 percent drop in </w:t>
      </w:r>
      <w:r>
        <w:t xml:space="preserve">spending on Job Support </w:t>
      </w:r>
      <w:r w:rsidR="005071C3">
        <w:t xml:space="preserve">and </w:t>
      </w:r>
      <w:r w:rsidR="00BE7DA0">
        <w:t>an</w:t>
      </w:r>
      <w:r w:rsidR="0021662F">
        <w:t xml:space="preserve"> </w:t>
      </w:r>
      <w:r w:rsidR="005071C3">
        <w:t xml:space="preserve">83 percent drop in </w:t>
      </w:r>
      <w:r>
        <w:t>spending on Training Support</w:t>
      </w:r>
      <w:r w:rsidR="0021662F">
        <w:t>.</w:t>
      </w:r>
    </w:p>
    <w:p w14:paraId="16B18567" w14:textId="73E66E4D" w:rsidR="00D32EED" w:rsidRPr="00DE1121" w:rsidRDefault="00D32EED" w:rsidP="007861E6">
      <w:pPr>
        <w:pStyle w:val="Heading3"/>
      </w:pPr>
      <w:bookmarkStart w:id="21" w:name="_Toc106198810"/>
      <w:bookmarkStart w:id="22" w:name="_Toc106351804"/>
      <w:bookmarkStart w:id="23" w:name="_Toc106353137"/>
      <w:bookmarkStart w:id="24" w:name="_Toc106381563"/>
      <w:bookmarkStart w:id="25" w:name="_Toc106639968"/>
      <w:bookmarkStart w:id="26" w:name="_Toc107500744"/>
      <w:bookmarkStart w:id="27" w:name="_Toc107502739"/>
      <w:bookmarkStart w:id="28" w:name="_Toc108022114"/>
      <w:bookmarkStart w:id="29" w:name="_Toc133076240"/>
      <w:r w:rsidRPr="00DE1121">
        <w:t xml:space="preserve">Access to the </w:t>
      </w:r>
      <w:r w:rsidR="001E12CA">
        <w:t>f</w:t>
      </w:r>
      <w:r w:rsidRPr="00172243">
        <w:t>unding</w:t>
      </w:r>
      <w:r w:rsidRPr="00DE1121">
        <w:t xml:space="preserve"> </w:t>
      </w:r>
      <w:r w:rsidR="001E12CA">
        <w:t>m</w:t>
      </w:r>
      <w:r w:rsidRPr="00DE1121">
        <w:t>aximum</w:t>
      </w:r>
      <w:bookmarkEnd w:id="21"/>
      <w:bookmarkEnd w:id="22"/>
      <w:bookmarkEnd w:id="23"/>
      <w:bookmarkEnd w:id="24"/>
      <w:bookmarkEnd w:id="25"/>
      <w:bookmarkEnd w:id="26"/>
      <w:bookmarkEnd w:id="27"/>
      <w:bookmarkEnd w:id="28"/>
      <w:bookmarkEnd w:id="29"/>
    </w:p>
    <w:p w14:paraId="0E0847FA" w14:textId="6A12D3DC" w:rsidR="003137BC" w:rsidRDefault="00D32EED" w:rsidP="00891469">
      <w:r w:rsidRPr="00BD4959">
        <w:t xml:space="preserve">A very small number of </w:t>
      </w:r>
      <w:r w:rsidR="00635ECE">
        <w:t>people</w:t>
      </w:r>
      <w:r w:rsidRPr="00BD4959">
        <w:t xml:space="preserve"> were able to access the </w:t>
      </w:r>
      <w:r w:rsidR="00635ECE">
        <w:t>Job Support</w:t>
      </w:r>
      <w:r w:rsidR="0062043F">
        <w:t xml:space="preserve"> funding</w:t>
      </w:r>
      <w:r w:rsidR="00635ECE" w:rsidRPr="00BD4959">
        <w:t xml:space="preserve"> </w:t>
      </w:r>
      <w:r w:rsidRPr="00BD4959">
        <w:t>maximum of $16,900</w:t>
      </w:r>
      <w:r w:rsidR="00635ECE">
        <w:t>. The total</w:t>
      </w:r>
      <w:r w:rsidR="00D27E4B">
        <w:t xml:space="preserve"> </w:t>
      </w:r>
      <w:r w:rsidRPr="00BD4959">
        <w:t xml:space="preserve">number </w:t>
      </w:r>
      <w:r w:rsidR="00D27E4B">
        <w:t xml:space="preserve">of applicants accessing the full </w:t>
      </w:r>
      <w:r w:rsidR="00BE7DA0">
        <w:t xml:space="preserve">amount </w:t>
      </w:r>
      <w:r w:rsidR="00BE7DA0" w:rsidRPr="00BD4959">
        <w:t>fluctuated</w:t>
      </w:r>
      <w:r w:rsidRPr="00BD4959">
        <w:t xml:space="preserve"> between 16-49</w:t>
      </w:r>
      <w:r w:rsidR="00FB7B74">
        <w:t xml:space="preserve"> in a ten-year period.</w:t>
      </w:r>
      <w:r w:rsidR="00BD4959" w:rsidRPr="00BD4959">
        <w:rPr>
          <w:rStyle w:val="EndnoteReference"/>
        </w:rPr>
        <w:endnoteReference w:id="21"/>
      </w:r>
      <w:r w:rsidR="003137BC" w:rsidRPr="00BD4959">
        <w:t xml:space="preserve"> </w:t>
      </w:r>
      <w:r w:rsidR="00635ECE">
        <w:t>This</w:t>
      </w:r>
      <w:r w:rsidR="00D27E4B">
        <w:t xml:space="preserve"> </w:t>
      </w:r>
      <w:r w:rsidR="003137BC" w:rsidRPr="00BD4959">
        <w:t>in</w:t>
      </w:r>
      <w:r w:rsidR="00635ECE">
        <w:t>cludes self-employed applicants</w:t>
      </w:r>
      <w:r w:rsidR="00D27E4B">
        <w:t xml:space="preserve"> </w:t>
      </w:r>
      <w:r w:rsidR="00635ECE">
        <w:t>because</w:t>
      </w:r>
      <w:r w:rsidR="00D27E4B" w:rsidRPr="00BD4959">
        <w:t xml:space="preserve"> they are also classified as Job Support applicants</w:t>
      </w:r>
      <w:r w:rsidR="00D27E4B">
        <w:t>.</w:t>
      </w:r>
      <w:r w:rsidR="00635ECE" w:rsidRPr="00635ECE">
        <w:t xml:space="preserve"> </w:t>
      </w:r>
      <w:r w:rsidR="00635ECE">
        <w:t xml:space="preserve">Applications from those in self-employment </w:t>
      </w:r>
      <w:r w:rsidR="00635ECE" w:rsidRPr="00BD4959">
        <w:t>fluctuated between 0-7</w:t>
      </w:r>
      <w:r w:rsidR="00635ECE" w:rsidRPr="00BD4959">
        <w:rPr>
          <w:rStyle w:val="EndnoteReference"/>
        </w:rPr>
        <w:endnoteReference w:id="22"/>
      </w:r>
      <w:r w:rsidR="00635ECE">
        <w:t xml:space="preserve"> across the same time period.</w:t>
      </w:r>
    </w:p>
    <w:p w14:paraId="5170E2D5" w14:textId="77777777" w:rsidR="00D52509" w:rsidRDefault="00D52509" w:rsidP="00D52509">
      <w:pPr>
        <w:pStyle w:val="Heading3"/>
      </w:pPr>
      <w:bookmarkStart w:id="30" w:name="_Toc133076241"/>
      <w:bookmarkStart w:id="31" w:name="_Toc106198812"/>
      <w:bookmarkStart w:id="32" w:name="_Toc106351806"/>
      <w:bookmarkStart w:id="33" w:name="_Toc106353139"/>
      <w:bookmarkStart w:id="34" w:name="_Toc106381565"/>
      <w:bookmarkStart w:id="35" w:name="_Toc106639970"/>
      <w:bookmarkStart w:id="36" w:name="_Toc106639971"/>
      <w:r>
        <w:t>A decline in applications</w:t>
      </w:r>
      <w:bookmarkEnd w:id="30"/>
    </w:p>
    <w:p w14:paraId="72BAEC8D" w14:textId="0B5A1A37" w:rsidR="00D52509" w:rsidRDefault="00D52509" w:rsidP="00D52509">
      <w:r>
        <w:t>There has been a steady decrease in the number of applications being made for Job Support</w:t>
      </w:r>
      <w:r w:rsidR="0062043F">
        <w:t xml:space="preserve">. </w:t>
      </w:r>
      <w:r>
        <w:t xml:space="preserve">This is unlikely to be due to a lessened need for support and may be indicative of other factors. For example, difficulty engaging in the application process, as suggested by </w:t>
      </w:r>
      <w:r w:rsidR="00FB7B74">
        <w:t xml:space="preserve">many </w:t>
      </w:r>
      <w:r>
        <w:t>disabled people we spoke to.</w:t>
      </w:r>
    </w:p>
    <w:p w14:paraId="0811E200" w14:textId="2F861005" w:rsidR="00D52509" w:rsidRDefault="00D52509" w:rsidP="00D52509">
      <w:r w:rsidRPr="00B17B95">
        <w:t xml:space="preserve">In the 2020/21 </w:t>
      </w:r>
      <w:r w:rsidR="00FB7B74">
        <w:t>financial year</w:t>
      </w:r>
      <w:r w:rsidRPr="00B17B95">
        <w:t xml:space="preserve">, which is the most recent full year of data, 933 individual disabled people accessed Job Support, with a total of </w:t>
      </w:r>
      <w:r w:rsidRPr="00B17B95">
        <w:rPr>
          <w:rFonts w:cs="Arial"/>
          <w:szCs w:val="24"/>
        </w:rPr>
        <w:t>1,329</w:t>
      </w:r>
      <w:r w:rsidRPr="00B17B95">
        <w:t xml:space="preserve"> applications made.</w:t>
      </w:r>
      <w:r w:rsidRPr="00240606">
        <w:rPr>
          <w:rStyle w:val="EndnoteReference"/>
          <w:rFonts w:cs="Arial"/>
          <w:szCs w:val="24"/>
        </w:rPr>
        <w:endnoteReference w:id="23"/>
      </w:r>
      <w:r w:rsidRPr="00240606">
        <w:rPr>
          <w:rFonts w:cs="Arial"/>
          <w:szCs w:val="24"/>
        </w:rPr>
        <w:t xml:space="preserve"> </w:t>
      </w:r>
      <w:r w:rsidRPr="00240606">
        <w:rPr>
          <w:rStyle w:val="EndnoteReference"/>
          <w:rFonts w:cs="Arial"/>
          <w:szCs w:val="24"/>
        </w:rPr>
        <w:endnoteReference w:id="24"/>
      </w:r>
      <w:r w:rsidRPr="00240606">
        <w:t xml:space="preserve"> </w:t>
      </w:r>
      <w:r>
        <w:t xml:space="preserve">Higher application numbers here can be explained by the fact that disabled people </w:t>
      </w:r>
      <w:r w:rsidR="00FB7B74">
        <w:t>can</w:t>
      </w:r>
      <w:r>
        <w:t xml:space="preserve"> apply more than once in a one-year period. </w:t>
      </w:r>
      <w:r w:rsidRPr="00240606">
        <w:t xml:space="preserve">This </w:t>
      </w:r>
      <w:r>
        <w:t xml:space="preserve">data also showed that in the </w:t>
      </w:r>
      <w:r w:rsidRPr="00240606">
        <w:t xml:space="preserve">2012/2013 </w:t>
      </w:r>
      <w:r>
        <w:t>period,</w:t>
      </w:r>
      <w:r w:rsidRPr="00240606">
        <w:t xml:space="preserve"> </w:t>
      </w:r>
      <w:r w:rsidRPr="00240606">
        <w:rPr>
          <w:rFonts w:eastAsia="Calibri" w:cs="Arial"/>
          <w:szCs w:val="24"/>
        </w:rPr>
        <w:t>1,677 individuals received funding through</w:t>
      </w:r>
      <w:r w:rsidRPr="00240606">
        <w:t xml:space="preserve"> </w:t>
      </w:r>
      <w:r w:rsidRPr="00240606">
        <w:rPr>
          <w:rFonts w:cs="Arial"/>
          <w:szCs w:val="24"/>
        </w:rPr>
        <w:t>2,259 applications.</w:t>
      </w:r>
      <w:r w:rsidRPr="00240606">
        <w:t xml:space="preserve"> Likewise, the number of applications for </w:t>
      </w:r>
      <w:r w:rsidR="00FB7B74">
        <w:t>T</w:t>
      </w:r>
      <w:r w:rsidRPr="00240606">
        <w:t xml:space="preserve">raining </w:t>
      </w:r>
      <w:r w:rsidR="00FB7B74">
        <w:t>S</w:t>
      </w:r>
      <w:r w:rsidRPr="00240606">
        <w:t>upport</w:t>
      </w:r>
      <w:r w:rsidR="0062043F">
        <w:t xml:space="preserve"> </w:t>
      </w:r>
      <w:r w:rsidRPr="00240606">
        <w:t>dropped significantly</w:t>
      </w:r>
      <w:r w:rsidR="00FB7B74">
        <w:t>,</w:t>
      </w:r>
      <w:r w:rsidRPr="00240606">
        <w:t xml:space="preserve"> from 699 to 96 between 2012/13 and 2020/21.</w:t>
      </w:r>
      <w:r w:rsidRPr="00240606">
        <w:rPr>
          <w:rStyle w:val="EndnoteReference"/>
        </w:rPr>
        <w:endnoteReference w:id="25"/>
      </w:r>
    </w:p>
    <w:p w14:paraId="3117C862" w14:textId="3CC61D16" w:rsidR="00D52509" w:rsidRDefault="00D52509" w:rsidP="00D52509">
      <w:r>
        <w:t>From Parliamentary Written Questions accessed online, it was calculated that there has been a 44 percent drop in individuals receiving Job Support and a 41 percent drop in Job Support applications submitted</w:t>
      </w:r>
      <w:r w:rsidR="00FB7B74">
        <w:t xml:space="preserve"> across that ten-year period.</w:t>
      </w:r>
    </w:p>
    <w:p w14:paraId="786F1BC8" w14:textId="1D843166" w:rsidR="00D52509" w:rsidRDefault="00FB7B74" w:rsidP="00D52509">
      <w:r>
        <w:lastRenderedPageBreak/>
        <w:t xml:space="preserve">The Ministry of Social Development </w:t>
      </w:r>
      <w:r w:rsidR="00D52509">
        <w:t xml:space="preserve">suggests that </w:t>
      </w:r>
      <w:r>
        <w:t xml:space="preserve">the </w:t>
      </w:r>
      <w:r w:rsidR="00D52509">
        <w:t>decline in applications</w:t>
      </w:r>
      <w:r>
        <w:t xml:space="preserve"> for Job</w:t>
      </w:r>
      <w:r w:rsidR="00D52509">
        <w:t xml:space="preserve"> Support and</w:t>
      </w:r>
      <w:r>
        <w:t xml:space="preserve"> the </w:t>
      </w:r>
      <w:r w:rsidR="00D52509">
        <w:t>decline in successful applications includ</w:t>
      </w:r>
      <w:r>
        <w:t>es reasons such as</w:t>
      </w:r>
      <w:r w:rsidR="00D52509">
        <w:t>:</w:t>
      </w:r>
    </w:p>
    <w:p w14:paraId="5989D319" w14:textId="6B7872AF" w:rsidR="00D52509" w:rsidRDefault="00FB7B74" w:rsidP="00D52509">
      <w:pPr>
        <w:pStyle w:val="ListParagraph"/>
        <w:numPr>
          <w:ilvl w:val="0"/>
          <w:numId w:val="14"/>
        </w:numPr>
      </w:pPr>
      <w:r>
        <w:t xml:space="preserve">the </w:t>
      </w:r>
      <w:r w:rsidR="00D52509">
        <w:t xml:space="preserve">Covid-19 lockdowns in 2020 and </w:t>
      </w:r>
      <w:r>
        <w:t xml:space="preserve">subsequent </w:t>
      </w:r>
      <w:r w:rsidR="00D52509">
        <w:t xml:space="preserve">flexible </w:t>
      </w:r>
      <w:r>
        <w:t xml:space="preserve">and work-from-home </w:t>
      </w:r>
      <w:r w:rsidR="00D52509">
        <w:t>working arrangements for many disabled people due to immunity vulnerability</w:t>
      </w:r>
      <w:r>
        <w:t>;</w:t>
      </w:r>
    </w:p>
    <w:p w14:paraId="17744146" w14:textId="0DA30B86" w:rsidR="00D52509" w:rsidRDefault="00D52509" w:rsidP="00D52509">
      <w:pPr>
        <w:pStyle w:val="ListParagraph"/>
        <w:numPr>
          <w:ilvl w:val="0"/>
          <w:numId w:val="14"/>
        </w:numPr>
      </w:pPr>
      <w:r>
        <w:t>advances and improvements in accessibility features of Microsoft and Apple software packages, reducing the need for specialist adaptive software</w:t>
      </w:r>
      <w:r w:rsidR="00FB7B74">
        <w:t>;</w:t>
      </w:r>
    </w:p>
    <w:p w14:paraId="61F8D014" w14:textId="0AFC5705" w:rsidR="00D52509" w:rsidRDefault="00D52509" w:rsidP="00D52509">
      <w:pPr>
        <w:pStyle w:val="ListParagraph"/>
        <w:numPr>
          <w:ilvl w:val="0"/>
          <w:numId w:val="14"/>
        </w:numPr>
      </w:pPr>
      <w:r>
        <w:t>employers being more aware of providing reasonable accommodations to support disabled employees</w:t>
      </w:r>
      <w:r w:rsidR="00FB7B74">
        <w:t>;</w:t>
      </w:r>
      <w:r>
        <w:t xml:space="preserve"> and</w:t>
      </w:r>
    </w:p>
    <w:p w14:paraId="21536B34" w14:textId="1D2FD6CF" w:rsidR="00D52509" w:rsidRDefault="00FB7B74" w:rsidP="00D52509">
      <w:pPr>
        <w:pStyle w:val="ListParagraph"/>
        <w:numPr>
          <w:ilvl w:val="0"/>
          <w:numId w:val="14"/>
        </w:numPr>
      </w:pPr>
      <w:r>
        <w:t xml:space="preserve">a </w:t>
      </w:r>
      <w:r w:rsidR="00D52509">
        <w:t>drop-off in applications for ineligible medical technologies following information sent out to audiologists.</w:t>
      </w:r>
      <w:r w:rsidR="00D52509">
        <w:rPr>
          <w:rStyle w:val="EndnoteReference"/>
        </w:rPr>
        <w:endnoteReference w:id="26"/>
      </w:r>
    </w:p>
    <w:p w14:paraId="7AF3D662" w14:textId="77777777" w:rsidR="00D52509" w:rsidRDefault="00D52509" w:rsidP="00D52509">
      <w:pPr>
        <w:pStyle w:val="Heading3"/>
      </w:pPr>
      <w:bookmarkStart w:id="37" w:name="_Toc133076242"/>
      <w:r>
        <w:t>Inconsistencies in data</w:t>
      </w:r>
      <w:bookmarkEnd w:id="37"/>
    </w:p>
    <w:p w14:paraId="777464CF" w14:textId="628A7305" w:rsidR="00D52509" w:rsidRDefault="00D52509" w:rsidP="00D52509">
      <w:pPr>
        <w:spacing w:before="240"/>
      </w:pPr>
      <w:r>
        <w:t>When placing the data released by the Ministry in July 2021 and June 2022 side-by-side, it was noticed that some of the data was inconsistent or contradictory, raising questions of the accuracy and reliability of Support Fund data (see Appendix D).</w:t>
      </w:r>
    </w:p>
    <w:p w14:paraId="474C591A" w14:textId="6447395E" w:rsidR="00D52509" w:rsidRDefault="00D52509" w:rsidP="00D52509">
      <w:pPr>
        <w:spacing w:before="240"/>
      </w:pPr>
      <w:r>
        <w:t>For example, information on the number of individuals who have received Job Support each year for the last ten years differs significantly between responses to the same question a year apart (Parliamentary Written Question</w:t>
      </w:r>
      <w:r w:rsidRPr="006D3A1E">
        <w:t xml:space="preserve"> 16187</w:t>
      </w:r>
      <w:r>
        <w:t xml:space="preserve"> (2021</w:t>
      </w:r>
      <w:r w:rsidRPr="006D3A1E">
        <w:t>)</w:t>
      </w:r>
      <w:r>
        <w:t xml:space="preserve"> vs. 17439 (2022)). Similarly, </w:t>
      </w:r>
      <w:r w:rsidR="00FB7B74">
        <w:t>i</w:t>
      </w:r>
      <w:r>
        <w:t>nformation on the number of applications for Job Support each year for the last ten years differs significantly between responses to the same question a year apart (</w:t>
      </w:r>
      <w:r w:rsidRPr="0092799B">
        <w:t>Parliamentary</w:t>
      </w:r>
      <w:r>
        <w:t xml:space="preserve"> Written Question </w:t>
      </w:r>
      <w:r w:rsidRPr="006D3A1E">
        <w:t>16187</w:t>
      </w:r>
      <w:r>
        <w:t xml:space="preserve"> (2021</w:t>
      </w:r>
      <w:r w:rsidRPr="006D3A1E">
        <w:t>)</w:t>
      </w:r>
      <w:r>
        <w:t xml:space="preserve"> vs. 17440 (2022)).</w:t>
      </w:r>
    </w:p>
    <w:p w14:paraId="570316AE" w14:textId="46E85BD7" w:rsidR="00D52509" w:rsidRDefault="00D52509" w:rsidP="00D52509">
      <w:r>
        <w:t xml:space="preserve">Furthermore, information on total applications for Training Support </w:t>
      </w:r>
      <w:r w:rsidR="00FB7B74">
        <w:t>funding</w:t>
      </w:r>
      <w:r>
        <w:t xml:space="preserve"> is held centrally. However, unlike with Job Support, the number of individuals receiving funding for Training Support is communicated as not being centrally held (Parliamentary Written Question 17438 (2022) vs. </w:t>
      </w:r>
      <w:r>
        <w:rPr>
          <w:rFonts w:eastAsia="Times New Roman"/>
        </w:rPr>
        <w:t>19557 (2022)</w:t>
      </w:r>
      <w:r>
        <w:t>).</w:t>
      </w:r>
    </w:p>
    <w:p w14:paraId="2C8A020E" w14:textId="77777777" w:rsidR="00D52509" w:rsidRDefault="00D52509" w:rsidP="00D52509"/>
    <w:p w14:paraId="457D9BB1" w14:textId="77777777" w:rsidR="00D52509" w:rsidRPr="00E921EB" w:rsidRDefault="00D52509" w:rsidP="00D52509">
      <w:pPr>
        <w:spacing w:after="160" w:line="259" w:lineRule="auto"/>
      </w:pPr>
      <w:r>
        <w:br w:type="page"/>
      </w:r>
    </w:p>
    <w:p w14:paraId="70243607" w14:textId="77777777" w:rsidR="00D52509" w:rsidRDefault="00D52509" w:rsidP="00D52509">
      <w:pPr>
        <w:pStyle w:val="Heading2"/>
      </w:pPr>
      <w:bookmarkStart w:id="38" w:name="_Toc133076243"/>
      <w:r>
        <w:lastRenderedPageBreak/>
        <w:t>Data on inflation</w:t>
      </w:r>
      <w:bookmarkEnd w:id="38"/>
    </w:p>
    <w:p w14:paraId="38399637" w14:textId="32124C20" w:rsidR="00D52509" w:rsidRPr="0097310D" w:rsidRDefault="00D52509" w:rsidP="00D52509">
      <w:r w:rsidRPr="006458F3">
        <w:t xml:space="preserve">The </w:t>
      </w:r>
      <w:r>
        <w:t xml:space="preserve">maximum amount for </w:t>
      </w:r>
      <w:r>
        <w:rPr>
          <w:lang w:val="en-US" w:eastAsia="en-NZ"/>
        </w:rPr>
        <w:t xml:space="preserve">Job Support annually, and for Training </w:t>
      </w:r>
      <w:r w:rsidR="004D5A23">
        <w:rPr>
          <w:lang w:val="en-US" w:eastAsia="en-NZ"/>
        </w:rPr>
        <w:t>Support over</w:t>
      </w:r>
      <w:r>
        <w:rPr>
          <w:lang w:val="en-US" w:eastAsia="en-NZ"/>
        </w:rPr>
        <w:t xml:space="preserve"> a lifetime, has </w:t>
      </w:r>
      <w:r>
        <w:t xml:space="preserve">remained </w:t>
      </w:r>
      <w:r w:rsidR="00FB7B74">
        <w:t xml:space="preserve">at </w:t>
      </w:r>
      <w:r w:rsidRPr="006458F3">
        <w:t>$16,900</w:t>
      </w:r>
      <w:r>
        <w:t xml:space="preserve"> for almost thirty years since the fund was introduced in 1994. In the time period between 1994 (fourth quarter) and 2022 (fourth quarter), there has been an 89.2 percent rise in inflation and a 47.1 percent drop in purchasing power overall. However, when looking solely at wages, the impact is even more pronounced, with data showing a 155.5 percent rise in inflation and a 60.9 percent drop in purchasing power over the same time period.</w:t>
      </w:r>
      <w:r>
        <w:rPr>
          <w:rStyle w:val="EndnoteReference"/>
        </w:rPr>
        <w:endnoteReference w:id="27"/>
      </w:r>
      <w:r>
        <w:t xml:space="preserve"> </w:t>
      </w:r>
    </w:p>
    <w:p w14:paraId="14449692" w14:textId="3F9ABE12" w:rsidR="00D52509" w:rsidRDefault="00D52509" w:rsidP="00D52509">
      <w:r>
        <w:t xml:space="preserve">The Reserve Bank of New Zealand reports inflation changes </w:t>
      </w:r>
      <w:r w:rsidR="00FB7B74">
        <w:t xml:space="preserve">each </w:t>
      </w:r>
      <w:r>
        <w:t>quarter,</w:t>
      </w:r>
      <w:r w:rsidR="00CB2FDF">
        <w:t xml:space="preserve"> </w:t>
      </w:r>
      <w:r>
        <w:t>calculating</w:t>
      </w:r>
      <w:r w:rsidR="00CB2FDF">
        <w:t xml:space="preserve"> </w:t>
      </w:r>
      <w:r>
        <w:t>changes in inflation and purchasing power. ‘</w:t>
      </w:r>
      <w:r w:rsidR="00CB2FDF">
        <w:t>G</w:t>
      </w:r>
      <w:r>
        <w:t xml:space="preserve">eneral’ data is sourced from the Consumer Price Index and ‘wages’ data is sourced calculated on </w:t>
      </w:r>
      <w:r w:rsidR="00CB2FDF">
        <w:t xml:space="preserve">information from </w:t>
      </w:r>
      <w:r>
        <w:t xml:space="preserve">the Statistics NZ </w:t>
      </w:r>
      <w:r w:rsidRPr="00D97105">
        <w:t>Quarterly Employment Survey</w:t>
      </w:r>
      <w:r>
        <w:t>.</w:t>
      </w:r>
    </w:p>
    <w:bookmarkEnd w:id="31"/>
    <w:bookmarkEnd w:id="32"/>
    <w:bookmarkEnd w:id="33"/>
    <w:bookmarkEnd w:id="34"/>
    <w:bookmarkEnd w:id="35"/>
    <w:p w14:paraId="40BC291B" w14:textId="77777777" w:rsidR="00D52509" w:rsidRDefault="00D52509">
      <w:pPr>
        <w:spacing w:after="160" w:line="259" w:lineRule="auto"/>
        <w:rPr>
          <w:rFonts w:eastAsiaTheme="majorEastAsia" w:cstheme="majorBidi"/>
          <w:color w:val="29797F"/>
          <w:sz w:val="72"/>
          <w:szCs w:val="32"/>
        </w:rPr>
      </w:pPr>
      <w:r>
        <w:br w:type="page"/>
      </w:r>
    </w:p>
    <w:p w14:paraId="042802AE" w14:textId="7ECAAF83" w:rsidR="00D32EED" w:rsidRDefault="00D32EED" w:rsidP="006E7328">
      <w:pPr>
        <w:pStyle w:val="Heading1"/>
      </w:pPr>
      <w:bookmarkStart w:id="39" w:name="_Toc133076244"/>
      <w:r w:rsidRPr="003500B4">
        <w:lastRenderedPageBreak/>
        <w:t>Disabled</w:t>
      </w:r>
      <w:r>
        <w:t xml:space="preserve"> people’s </w:t>
      </w:r>
      <w:r w:rsidRPr="00172243">
        <w:t>experiences</w:t>
      </w:r>
      <w:r>
        <w:t xml:space="preserve"> of </w:t>
      </w:r>
      <w:r w:rsidR="00D01D32">
        <w:t xml:space="preserve">accessing </w:t>
      </w:r>
      <w:r>
        <w:t>Support</w:t>
      </w:r>
      <w:bookmarkEnd w:id="36"/>
      <w:r w:rsidR="00D01D32">
        <w:t xml:space="preserve"> Funds</w:t>
      </w:r>
      <w:bookmarkEnd w:id="39"/>
    </w:p>
    <w:p w14:paraId="7A09AEDB" w14:textId="674284F9" w:rsidR="00D32EED" w:rsidRPr="009E7745" w:rsidRDefault="00D32EED" w:rsidP="00D32EED">
      <w:r>
        <w:rPr>
          <w:lang w:val="en-US"/>
        </w:rPr>
        <w:t xml:space="preserve">In May 2022, Disabled Persons Assembly NZ put a call out to its members to ask them to get in touch with their insights and experiences around </w:t>
      </w:r>
      <w:r w:rsidR="002866BF">
        <w:t>MSD</w:t>
      </w:r>
      <w:r>
        <w:t xml:space="preserve">’s </w:t>
      </w:r>
      <w:r>
        <w:rPr>
          <w:lang w:val="en-US"/>
        </w:rPr>
        <w:t xml:space="preserve">Support </w:t>
      </w:r>
      <w:r w:rsidR="00E12939">
        <w:rPr>
          <w:lang w:val="en-US"/>
        </w:rPr>
        <w:t>F</w:t>
      </w:r>
      <w:r>
        <w:rPr>
          <w:lang w:val="en-US"/>
        </w:rPr>
        <w:t>und</w:t>
      </w:r>
      <w:r w:rsidR="00E12939">
        <w:rPr>
          <w:lang w:val="en-US"/>
        </w:rPr>
        <w:t>s</w:t>
      </w:r>
      <w:r>
        <w:rPr>
          <w:lang w:val="en-US"/>
        </w:rPr>
        <w:t xml:space="preserve">. </w:t>
      </w:r>
      <w:r>
        <w:t>For example, experiences of finding information about, receiving, or appropriateness of Job Suppor</w:t>
      </w:r>
      <w:r w:rsidR="00E12939">
        <w:t>t</w:t>
      </w:r>
      <w:r>
        <w:t xml:space="preserve">. </w:t>
      </w:r>
      <w:r>
        <w:rPr>
          <w:lang w:val="en-US"/>
        </w:rPr>
        <w:t xml:space="preserve">The general view expressed by members was that </w:t>
      </w:r>
      <w:r w:rsidR="00B36BD2">
        <w:rPr>
          <w:lang w:val="en-US"/>
        </w:rPr>
        <w:t xml:space="preserve">Support Funds </w:t>
      </w:r>
      <w:r w:rsidR="00AC15D3">
        <w:rPr>
          <w:lang w:val="en-US"/>
        </w:rPr>
        <w:t xml:space="preserve">is a scheme that is </w:t>
      </w:r>
      <w:r w:rsidR="00CB2FDF">
        <w:rPr>
          <w:lang w:val="en-US"/>
        </w:rPr>
        <w:t xml:space="preserve">greatly </w:t>
      </w:r>
      <w:r>
        <w:rPr>
          <w:lang w:val="en-US"/>
        </w:rPr>
        <w:t xml:space="preserve">appreciated by those who are able to access it, but that the application process </w:t>
      </w:r>
      <w:r w:rsidR="00B36BD2">
        <w:rPr>
          <w:lang w:val="en-US"/>
        </w:rPr>
        <w:t>is</w:t>
      </w:r>
      <w:r>
        <w:rPr>
          <w:lang w:val="en-US"/>
        </w:rPr>
        <w:t xml:space="preserve"> complicated and eligibility criteria </w:t>
      </w:r>
      <w:r w:rsidR="00BE7DA0">
        <w:rPr>
          <w:lang w:val="en-US"/>
        </w:rPr>
        <w:t>are</w:t>
      </w:r>
      <w:r w:rsidR="00B36BD2">
        <w:rPr>
          <w:lang w:val="en-US"/>
        </w:rPr>
        <w:t xml:space="preserve"> </w:t>
      </w:r>
      <w:r>
        <w:rPr>
          <w:lang w:val="en-US"/>
        </w:rPr>
        <w:t xml:space="preserve">restrictive. Overall, access to </w:t>
      </w:r>
      <w:r w:rsidR="00B36BD2">
        <w:rPr>
          <w:lang w:val="en-US"/>
        </w:rPr>
        <w:t xml:space="preserve">Support Funds </w:t>
      </w:r>
      <w:r w:rsidR="00D000AC">
        <w:rPr>
          <w:lang w:val="en-US"/>
        </w:rPr>
        <w:t>is</w:t>
      </w:r>
      <w:r w:rsidR="00B36BD2">
        <w:rPr>
          <w:lang w:val="en-US"/>
        </w:rPr>
        <w:t xml:space="preserve"> </w:t>
      </w:r>
      <w:r>
        <w:rPr>
          <w:lang w:val="en-US"/>
        </w:rPr>
        <w:t>not always seen as equitable.</w:t>
      </w:r>
    </w:p>
    <w:p w14:paraId="7C53BE1B" w14:textId="3CE20518" w:rsidR="00925B8A" w:rsidRPr="006458F3" w:rsidRDefault="00D32EED" w:rsidP="00CE178D">
      <w:pPr>
        <w:pStyle w:val="Quote"/>
        <w:spacing w:after="240"/>
        <w:rPr>
          <w:rStyle w:val="Emphasis"/>
          <w:color w:val="767171" w:themeColor="background2" w:themeShade="80"/>
        </w:rPr>
      </w:pPr>
      <w:r w:rsidRPr="006458F3">
        <w:rPr>
          <w:color w:val="767171" w:themeColor="background2" w:themeShade="80"/>
        </w:rPr>
        <w:t>“My understanding is that job support funds are there to provide equitable support for me as an employee. As appreciative as I am with the support that I do get, it can sometimes seem like it doesn’t quite meet its own ideal.”</w:t>
      </w:r>
    </w:p>
    <w:p w14:paraId="77991BFB" w14:textId="72D671C9" w:rsidR="00834D48" w:rsidRPr="00834D48" w:rsidRDefault="00834D48" w:rsidP="0007375A">
      <w:pPr>
        <w:rPr>
          <w:rStyle w:val="Emphasis"/>
          <w:i w:val="0"/>
          <w:color w:val="auto"/>
        </w:rPr>
      </w:pPr>
      <w:bookmarkStart w:id="40" w:name="_Toc106639972"/>
      <w:r w:rsidRPr="00834D48">
        <w:rPr>
          <w:rStyle w:val="Emphasis"/>
          <w:i w:val="0"/>
          <w:color w:val="auto"/>
        </w:rPr>
        <w:t xml:space="preserve">This report </w:t>
      </w:r>
      <w:r w:rsidR="00EA3386">
        <w:rPr>
          <w:rStyle w:val="Emphasis"/>
          <w:i w:val="0"/>
          <w:color w:val="auto"/>
        </w:rPr>
        <w:t>provide</w:t>
      </w:r>
      <w:r w:rsidR="00CB2FDF">
        <w:rPr>
          <w:rStyle w:val="Emphasis"/>
          <w:i w:val="0"/>
          <w:color w:val="auto"/>
        </w:rPr>
        <w:t>s</w:t>
      </w:r>
      <w:r w:rsidR="00EA3386">
        <w:rPr>
          <w:rStyle w:val="Emphasis"/>
          <w:i w:val="0"/>
          <w:color w:val="auto"/>
        </w:rPr>
        <w:t xml:space="preserve"> an overview</w:t>
      </w:r>
      <w:r w:rsidR="00E07077">
        <w:rPr>
          <w:rStyle w:val="Emphasis"/>
          <w:i w:val="0"/>
          <w:color w:val="auto"/>
        </w:rPr>
        <w:t xml:space="preserve"> of</w:t>
      </w:r>
      <w:r w:rsidR="00EA3386">
        <w:rPr>
          <w:rStyle w:val="Emphasis"/>
          <w:i w:val="0"/>
          <w:color w:val="auto"/>
        </w:rPr>
        <w:t xml:space="preserve"> </w:t>
      </w:r>
      <w:r w:rsidR="00E07077">
        <w:rPr>
          <w:rStyle w:val="Emphasis"/>
          <w:i w:val="0"/>
          <w:color w:val="auto"/>
        </w:rPr>
        <w:t>feedback from DPA members</w:t>
      </w:r>
      <w:r w:rsidR="0007375A">
        <w:rPr>
          <w:rStyle w:val="Emphasis"/>
          <w:i w:val="0"/>
          <w:color w:val="auto"/>
        </w:rPr>
        <w:t xml:space="preserve"> across five themes</w:t>
      </w:r>
      <w:r w:rsidR="00CB2FDF">
        <w:rPr>
          <w:rStyle w:val="Emphasis"/>
          <w:i w:val="0"/>
          <w:color w:val="auto"/>
        </w:rPr>
        <w:t xml:space="preserve"> showing that: </w:t>
      </w:r>
      <w:r w:rsidR="0007375A">
        <w:rPr>
          <w:rStyle w:val="Emphasis"/>
          <w:i w:val="0"/>
          <w:color w:val="auto"/>
        </w:rPr>
        <w:t xml:space="preserve">Support Funds </w:t>
      </w:r>
      <w:r w:rsidR="00AC15D3">
        <w:rPr>
          <w:rStyle w:val="Emphasis"/>
          <w:i w:val="0"/>
          <w:color w:val="auto"/>
        </w:rPr>
        <w:t>is</w:t>
      </w:r>
      <w:r w:rsidR="0007375A">
        <w:rPr>
          <w:rStyle w:val="Emphasis"/>
          <w:i w:val="0"/>
          <w:color w:val="auto"/>
        </w:rPr>
        <w:t xml:space="preserve"> </w:t>
      </w:r>
      <w:r w:rsidR="0007375A" w:rsidRPr="0007375A">
        <w:rPr>
          <w:rStyle w:val="Emphasis"/>
          <w:i w:val="0"/>
          <w:color w:val="auto"/>
        </w:rPr>
        <w:t>difficult to access</w:t>
      </w:r>
      <w:r w:rsidR="0007375A">
        <w:rPr>
          <w:rStyle w:val="Emphasis"/>
          <w:i w:val="0"/>
          <w:color w:val="auto"/>
        </w:rPr>
        <w:t xml:space="preserve">, Support Funds </w:t>
      </w:r>
      <w:r w:rsidR="00AC15D3">
        <w:rPr>
          <w:rStyle w:val="Emphasis"/>
          <w:i w:val="0"/>
          <w:color w:val="auto"/>
        </w:rPr>
        <w:t>is</w:t>
      </w:r>
      <w:r w:rsidR="0007375A">
        <w:rPr>
          <w:rStyle w:val="Emphasis"/>
          <w:i w:val="0"/>
          <w:color w:val="auto"/>
        </w:rPr>
        <w:t xml:space="preserve"> </w:t>
      </w:r>
      <w:r w:rsidR="0007375A" w:rsidRPr="0007375A">
        <w:rPr>
          <w:rStyle w:val="Emphasis"/>
          <w:i w:val="0"/>
          <w:color w:val="auto"/>
        </w:rPr>
        <w:t>difficult to maintain;</w:t>
      </w:r>
      <w:r w:rsidR="0007375A">
        <w:rPr>
          <w:rStyle w:val="Emphasis"/>
          <w:i w:val="0"/>
          <w:color w:val="auto"/>
        </w:rPr>
        <w:t xml:space="preserve"> Support Funds </w:t>
      </w:r>
      <w:r w:rsidR="00AC15D3">
        <w:rPr>
          <w:rStyle w:val="Emphasis"/>
          <w:i w:val="0"/>
          <w:color w:val="auto"/>
        </w:rPr>
        <w:t>is</w:t>
      </w:r>
      <w:r w:rsidR="0007375A">
        <w:rPr>
          <w:rStyle w:val="Emphasis"/>
          <w:i w:val="0"/>
          <w:color w:val="auto"/>
        </w:rPr>
        <w:t xml:space="preserve"> </w:t>
      </w:r>
      <w:r w:rsidR="0007375A" w:rsidRPr="0007375A">
        <w:rPr>
          <w:rStyle w:val="Emphasis"/>
          <w:i w:val="0"/>
          <w:color w:val="auto"/>
        </w:rPr>
        <w:t>inequitable;</w:t>
      </w:r>
      <w:r w:rsidR="004E6428">
        <w:rPr>
          <w:rStyle w:val="Emphasis"/>
          <w:i w:val="0"/>
          <w:color w:val="auto"/>
        </w:rPr>
        <w:t xml:space="preserve"> </w:t>
      </w:r>
      <w:r w:rsidR="0007375A" w:rsidRPr="0007375A">
        <w:rPr>
          <w:rStyle w:val="Emphasis"/>
          <w:i w:val="0"/>
          <w:color w:val="auto"/>
        </w:rPr>
        <w:t>disabled people are discouraged from applying</w:t>
      </w:r>
      <w:r w:rsidR="004E6428">
        <w:rPr>
          <w:rStyle w:val="Emphasis"/>
          <w:i w:val="0"/>
          <w:color w:val="auto"/>
        </w:rPr>
        <w:t xml:space="preserve"> for Support Funds, and that </w:t>
      </w:r>
      <w:r w:rsidR="00CB2FDF">
        <w:rPr>
          <w:rStyle w:val="Emphasis"/>
          <w:i w:val="0"/>
          <w:color w:val="auto"/>
        </w:rPr>
        <w:t>funding barriers have</w:t>
      </w:r>
      <w:r w:rsidR="0007375A" w:rsidRPr="0007375A">
        <w:rPr>
          <w:rStyle w:val="Emphasis"/>
          <w:i w:val="0"/>
          <w:color w:val="auto"/>
        </w:rPr>
        <w:t xml:space="preserve"> a negative impact on disabled people’s employment outcomes.</w:t>
      </w:r>
    </w:p>
    <w:p w14:paraId="1A053987" w14:textId="166F1B17" w:rsidR="0026683C" w:rsidRDefault="0026683C" w:rsidP="000D1039">
      <w:pPr>
        <w:pStyle w:val="Heading2"/>
      </w:pPr>
      <w:bookmarkStart w:id="41" w:name="_Toc133076245"/>
      <w:r>
        <w:t xml:space="preserve">Support Funds </w:t>
      </w:r>
      <w:r w:rsidR="000D1F3E">
        <w:t>can be</w:t>
      </w:r>
      <w:r>
        <w:t xml:space="preserve"> difficult to access</w:t>
      </w:r>
      <w:bookmarkEnd w:id="41"/>
    </w:p>
    <w:p w14:paraId="7F1A5944" w14:textId="6B68F68A" w:rsidR="00F9291C" w:rsidRDefault="00213216" w:rsidP="00432F45">
      <w:bookmarkStart w:id="42" w:name="_Toc106198815"/>
      <w:bookmarkStart w:id="43" w:name="_Toc106351809"/>
      <w:bookmarkStart w:id="44" w:name="_Toc106353142"/>
      <w:bookmarkStart w:id="45" w:name="_Toc106381568"/>
      <w:bookmarkStart w:id="46" w:name="_Toc106639973"/>
      <w:bookmarkStart w:id="47" w:name="_Toc107500748"/>
      <w:bookmarkStart w:id="48" w:name="_Toc107502743"/>
      <w:bookmarkStart w:id="49" w:name="_Toc108022118"/>
      <w:r>
        <w:rPr>
          <w:lang w:val="en-US" w:eastAsia="en-NZ"/>
        </w:rPr>
        <w:t xml:space="preserve">Support Funds have been difficult to access for most of the people we spoke to. The process of applying was reported to be difficult and laborious, with </w:t>
      </w:r>
      <w:r w:rsidR="005A27AC">
        <w:rPr>
          <w:lang w:val="en-US" w:eastAsia="en-NZ"/>
        </w:rPr>
        <w:t>the application process being</w:t>
      </w:r>
      <w:r w:rsidR="00F66F4E">
        <w:rPr>
          <w:lang w:val="en-US" w:eastAsia="en-NZ"/>
        </w:rPr>
        <w:t xml:space="preserve"> restrictive for many. </w:t>
      </w:r>
      <w:r w:rsidR="002A47F8">
        <w:rPr>
          <w:lang w:val="en-US" w:eastAsia="en-NZ"/>
        </w:rPr>
        <w:t xml:space="preserve">Transport support was </w:t>
      </w:r>
      <w:r w:rsidR="00F51B17">
        <w:rPr>
          <w:lang w:val="en-US" w:eastAsia="en-NZ"/>
        </w:rPr>
        <w:t>seen</w:t>
      </w:r>
      <w:r w:rsidR="002A47F8">
        <w:rPr>
          <w:lang w:val="en-US" w:eastAsia="en-NZ"/>
        </w:rPr>
        <w:t xml:space="preserve"> to be a difficult area to navigate</w:t>
      </w:r>
      <w:r w:rsidR="00754A63">
        <w:rPr>
          <w:lang w:val="en-US" w:eastAsia="en-NZ"/>
        </w:rPr>
        <w:t xml:space="preserve"> due to a lack of flexibility and a</w:t>
      </w:r>
      <w:r w:rsidR="00AC0C01">
        <w:rPr>
          <w:lang w:val="en-US" w:eastAsia="en-NZ"/>
        </w:rPr>
        <w:t>dditional challenges existed for those who are self-employed or on casual employment contracts</w:t>
      </w:r>
      <w:r w:rsidR="00754A63">
        <w:rPr>
          <w:lang w:val="en-US" w:eastAsia="en-NZ"/>
        </w:rPr>
        <w:t xml:space="preserve">. </w:t>
      </w:r>
      <w:r w:rsidR="00CB2FDF">
        <w:rPr>
          <w:lang w:val="en-US" w:eastAsia="en-NZ"/>
        </w:rPr>
        <w:t xml:space="preserve">Many disabled people shared that </w:t>
      </w:r>
      <w:r w:rsidR="00754A63">
        <w:rPr>
          <w:lang w:val="en-US" w:eastAsia="en-NZ"/>
        </w:rPr>
        <w:t xml:space="preserve">difficulty in accessing Support Funds sometimes </w:t>
      </w:r>
      <w:r w:rsidR="00432F45">
        <w:rPr>
          <w:lang w:val="en-US" w:eastAsia="en-NZ"/>
        </w:rPr>
        <w:t xml:space="preserve">led to </w:t>
      </w:r>
      <w:r w:rsidR="00CB2FDF">
        <w:rPr>
          <w:lang w:val="en-US" w:eastAsia="en-NZ"/>
        </w:rPr>
        <w:t>them</w:t>
      </w:r>
      <w:r w:rsidR="00432F45">
        <w:rPr>
          <w:lang w:val="en-US" w:eastAsia="en-NZ"/>
        </w:rPr>
        <w:t xml:space="preserve"> being excluded from workplace events.</w:t>
      </w:r>
    </w:p>
    <w:p w14:paraId="728A6FC2" w14:textId="69E78C9D" w:rsidR="00615737" w:rsidRDefault="00615737" w:rsidP="000D1039">
      <w:pPr>
        <w:pStyle w:val="Heading3"/>
      </w:pPr>
      <w:bookmarkStart w:id="50" w:name="_Toc133076246"/>
      <w:r>
        <w:lastRenderedPageBreak/>
        <w:t>A</w:t>
      </w:r>
      <w:r w:rsidR="00826489">
        <w:t>pplying is a</w:t>
      </w:r>
      <w:r>
        <w:t xml:space="preserve"> difficult </w:t>
      </w:r>
      <w:r w:rsidR="00123FD4">
        <w:t xml:space="preserve">and laborious </w:t>
      </w:r>
      <w:r w:rsidRPr="000D1039">
        <w:t>process</w:t>
      </w:r>
      <w:bookmarkEnd w:id="42"/>
      <w:bookmarkEnd w:id="43"/>
      <w:bookmarkEnd w:id="44"/>
      <w:bookmarkEnd w:id="45"/>
      <w:bookmarkEnd w:id="46"/>
      <w:bookmarkEnd w:id="47"/>
      <w:bookmarkEnd w:id="48"/>
      <w:bookmarkEnd w:id="49"/>
      <w:bookmarkEnd w:id="50"/>
    </w:p>
    <w:p w14:paraId="0C062262" w14:textId="1FE9BE15" w:rsidR="005423CA" w:rsidRDefault="00615737" w:rsidP="00615737">
      <w:r>
        <w:t>In our discussions, disabled people shared that</w:t>
      </w:r>
      <w:r w:rsidR="00CB2FDF">
        <w:t xml:space="preserve"> </w:t>
      </w:r>
      <w:r w:rsidR="006A07EE">
        <w:t xml:space="preserve">accessing </w:t>
      </w:r>
      <w:r>
        <w:t>Support Funds is a difficult process to navigate</w:t>
      </w:r>
      <w:r w:rsidR="00CB2FDF">
        <w:t xml:space="preserve"> in general</w:t>
      </w:r>
      <w:r>
        <w:t xml:space="preserve"> and that there are multiple barriers to accessing this much-needed support.</w:t>
      </w:r>
      <w:r w:rsidR="009A51B9">
        <w:t xml:space="preserve"> The term </w:t>
      </w:r>
      <w:r w:rsidR="00CB2FDF">
        <w:t>‘ga</w:t>
      </w:r>
      <w:r w:rsidR="009A51B9">
        <w:t>tekeeping</w:t>
      </w:r>
      <w:r w:rsidR="00CB2FDF">
        <w:t>’</w:t>
      </w:r>
      <w:r w:rsidR="009A51B9">
        <w:t xml:space="preserve"> came up frequently, with members talking </w:t>
      </w:r>
      <w:r w:rsidR="00806C30">
        <w:t xml:space="preserve">often </w:t>
      </w:r>
      <w:r w:rsidR="00CC29D6">
        <w:t xml:space="preserve">referring </w:t>
      </w:r>
      <w:r w:rsidR="00E431F1">
        <w:t xml:space="preserve">to having to jump “over </w:t>
      </w:r>
      <w:r w:rsidR="00CC29D6">
        <w:t>hurdles</w:t>
      </w:r>
      <w:r w:rsidR="00E431F1">
        <w:t>”</w:t>
      </w:r>
      <w:r w:rsidR="00CC29D6">
        <w:t xml:space="preserve"> and </w:t>
      </w:r>
      <w:r w:rsidR="00E431F1">
        <w:t>“through hoops”</w:t>
      </w:r>
      <w:r w:rsidR="005423CA">
        <w:t xml:space="preserve"> to </w:t>
      </w:r>
      <w:r w:rsidR="00F76984">
        <w:t>access funding</w:t>
      </w:r>
      <w:r w:rsidR="00E431F1">
        <w:t>.</w:t>
      </w:r>
      <w:r w:rsidR="00123FD4">
        <w:t xml:space="preserve"> These </w:t>
      </w:r>
      <w:r w:rsidR="00F76984">
        <w:t>issues</w:t>
      </w:r>
      <w:r w:rsidR="00123FD4">
        <w:t xml:space="preserve"> contributed </w:t>
      </w:r>
      <w:r w:rsidR="00F76984">
        <w:t xml:space="preserve">additional barriers </w:t>
      </w:r>
      <w:r w:rsidR="00123FD4">
        <w:t xml:space="preserve">to a system that was </w:t>
      </w:r>
      <w:r w:rsidR="00F76984">
        <w:t>already seen to be confusing.</w:t>
      </w:r>
      <w:r w:rsidR="00296210">
        <w:t xml:space="preserve"> </w:t>
      </w:r>
    </w:p>
    <w:p w14:paraId="157E8BFF" w14:textId="7C74AC57" w:rsidR="00615737" w:rsidRDefault="00615737" w:rsidP="00615737">
      <w:r>
        <w:t>The difficult application process was suggested as a reason for disabled people not seeking employment</w:t>
      </w:r>
      <w:r w:rsidR="004E57B1">
        <w:t xml:space="preserve"> and </w:t>
      </w:r>
      <w:r w:rsidR="000155F5">
        <w:t xml:space="preserve">one member reported </w:t>
      </w:r>
      <w:r>
        <w:t>staying on the benefit because it</w:t>
      </w:r>
      <w:r w:rsidR="000155F5">
        <w:t xml:space="preserve"> was “just </w:t>
      </w:r>
      <w:r>
        <w:t>too hard</w:t>
      </w:r>
      <w:r w:rsidR="000155F5">
        <w:t>”</w:t>
      </w:r>
      <w:r w:rsidR="00CB2FDF">
        <w:t xml:space="preserve"> to engage with the Support Funds process</w:t>
      </w:r>
      <w:r w:rsidR="000155F5">
        <w:t>.</w:t>
      </w:r>
      <w:r w:rsidR="005423CA" w:rsidRPr="005423CA">
        <w:t xml:space="preserve"> </w:t>
      </w:r>
      <w:r w:rsidR="00F76984">
        <w:t>Oftentimes there were delays and people felt like they were “going around in circles”, causing them to give up.</w:t>
      </w:r>
      <w:r w:rsidR="00D22F6E">
        <w:t xml:space="preserve"> </w:t>
      </w:r>
      <w:r>
        <w:t>The process</w:t>
      </w:r>
      <w:r w:rsidR="00CB2FDF">
        <w:t xml:space="preserve"> was</w:t>
      </w:r>
      <w:r>
        <w:t xml:space="preserve"> easier for those with knowledge </w:t>
      </w:r>
      <w:r w:rsidR="000D1F3E">
        <w:t>of</w:t>
      </w:r>
      <w:r>
        <w:t xml:space="preserve"> how to phrase their applications</w:t>
      </w:r>
      <w:r w:rsidR="00CB2FDF">
        <w:t xml:space="preserve">, </w:t>
      </w:r>
      <w:r w:rsidR="00BD3A57">
        <w:t xml:space="preserve">with one person suggesting </w:t>
      </w:r>
      <w:r w:rsidR="00CB2FDF">
        <w:t>that “</w:t>
      </w:r>
      <w:r w:rsidR="008659EF">
        <w:t>i</w:t>
      </w:r>
      <w:r>
        <w:t>t</w:t>
      </w:r>
      <w:r w:rsidR="00CB2FDF">
        <w:t>’</w:t>
      </w:r>
      <w:r>
        <w:t xml:space="preserve">s just as much about how you argue your case </w:t>
      </w:r>
      <w:r w:rsidR="008659EF">
        <w:t xml:space="preserve">as </w:t>
      </w:r>
      <w:r>
        <w:t>what you ask for</w:t>
      </w:r>
      <w:r w:rsidR="008659EF">
        <w:t>”</w:t>
      </w:r>
      <w:r w:rsidR="00BD3A57">
        <w:t>. This is something that</w:t>
      </w:r>
      <w:r w:rsidR="009518D6">
        <w:t xml:space="preserve"> benefits those with the time and energy to put into their applications</w:t>
      </w:r>
      <w:r w:rsidR="00BD3A57">
        <w:t xml:space="preserve"> and disadvantages those who don’t.</w:t>
      </w:r>
    </w:p>
    <w:p w14:paraId="72C537DC" w14:textId="41E7E5E8" w:rsidR="0033421B" w:rsidRDefault="00296210" w:rsidP="0033421B">
      <w:r>
        <w:rPr>
          <w:lang w:eastAsia="en-NZ"/>
        </w:rPr>
        <w:t xml:space="preserve">It was widely observed by employment consultants and disabled people accessing the funds that eligibility criteria had tightened significantly over recent years. </w:t>
      </w:r>
      <w:r w:rsidR="0033421B">
        <w:t xml:space="preserve">A consultant </w:t>
      </w:r>
      <w:r w:rsidR="00BD3A57">
        <w:t>shared</w:t>
      </w:r>
      <w:r w:rsidR="0033421B">
        <w:t xml:space="preserve"> the experience of a disabled person they supported, whose application was repeatedly questioned over many months before </w:t>
      </w:r>
      <w:r w:rsidR="00BD3A57">
        <w:t xml:space="preserve">eventually </w:t>
      </w:r>
      <w:r w:rsidR="0033421B">
        <w:t xml:space="preserve">being approved, </w:t>
      </w:r>
      <w:r w:rsidR="00BD3A57">
        <w:t>but they were then left having to restart the whole process and apply for additional funds because</w:t>
      </w:r>
      <w:r w:rsidR="0033421B">
        <w:t xml:space="preserve"> their condition </w:t>
      </w:r>
      <w:r w:rsidR="00BD3A57">
        <w:t xml:space="preserve">had </w:t>
      </w:r>
      <w:r w:rsidR="0033421B">
        <w:t>deteriorat</w:t>
      </w:r>
      <w:r w:rsidR="00BD3A57">
        <w:t>ed</w:t>
      </w:r>
      <w:r w:rsidR="0033421B">
        <w:t xml:space="preserve"> </w:t>
      </w:r>
      <w:r w:rsidR="00BD3A57">
        <w:t>while waiting for the initial application to be approved</w:t>
      </w:r>
      <w:r w:rsidR="0033421B">
        <w:t>.</w:t>
      </w:r>
    </w:p>
    <w:p w14:paraId="45D1E031" w14:textId="028491BC" w:rsidR="00615737" w:rsidRPr="00710982" w:rsidRDefault="00615737" w:rsidP="00615737">
      <w:pPr>
        <w:rPr>
          <w:i/>
          <w:color w:val="29797F"/>
        </w:rPr>
      </w:pPr>
      <w:r>
        <w:t>The</w:t>
      </w:r>
      <w:r w:rsidR="00C50051">
        <w:t xml:space="preserve"> </w:t>
      </w:r>
      <w:r>
        <w:t xml:space="preserve">labour of applying for Support Funds </w:t>
      </w:r>
      <w:r w:rsidR="00123FD4">
        <w:t>wa</w:t>
      </w:r>
      <w:r>
        <w:t xml:space="preserve">s described by people as requiring a lot of emotional and physical effort and </w:t>
      </w:r>
      <w:r w:rsidR="00BD3A57">
        <w:t>involving</w:t>
      </w:r>
      <w:r>
        <w:t xml:space="preserve"> time-consuming</w:t>
      </w:r>
      <w:r w:rsidR="005423CA">
        <w:t xml:space="preserve"> administration</w:t>
      </w:r>
      <w:r>
        <w:t>.</w:t>
      </w:r>
      <w:r w:rsidR="005423CA">
        <w:t xml:space="preserve"> </w:t>
      </w:r>
      <w:r>
        <w:t xml:space="preserve">There were </w:t>
      </w:r>
      <w:r w:rsidR="005423CA">
        <w:t xml:space="preserve">also </w:t>
      </w:r>
      <w:r>
        <w:t xml:space="preserve">references to time-consuming communication cycles within and between departments, where inquiries and applications would </w:t>
      </w:r>
      <w:r w:rsidR="00BD3A57">
        <w:t xml:space="preserve">often </w:t>
      </w:r>
      <w:r>
        <w:t>be delayed, or wh</w:t>
      </w:r>
      <w:r w:rsidR="00BD3A57">
        <w:t>ere</w:t>
      </w:r>
      <w:r>
        <w:t xml:space="preserve"> people </w:t>
      </w:r>
      <w:r w:rsidR="00BD3A57">
        <w:t>would be</w:t>
      </w:r>
      <w:r>
        <w:t xml:space="preserve"> shuffled between agencies and departments.</w:t>
      </w:r>
      <w:r w:rsidR="00710982">
        <w:t xml:space="preserve"> One disabled person we spoke to </w:t>
      </w:r>
      <w:r w:rsidR="0021454B">
        <w:t xml:space="preserve">talked about the </w:t>
      </w:r>
      <w:r w:rsidR="008A16DA">
        <w:t xml:space="preserve">cycle of </w:t>
      </w:r>
      <w:r w:rsidR="00795CE8">
        <w:t xml:space="preserve">being </w:t>
      </w:r>
      <w:r w:rsidR="00BD3A57">
        <w:t>incredibly</w:t>
      </w:r>
      <w:r w:rsidR="00795CE8">
        <w:t xml:space="preserve"> </w:t>
      </w:r>
      <w:r w:rsidR="00795CE8" w:rsidRPr="006458F3">
        <w:t xml:space="preserve">tired </w:t>
      </w:r>
      <w:r w:rsidR="00795CE8">
        <w:t xml:space="preserve">due to </w:t>
      </w:r>
      <w:r w:rsidR="00BD3A57">
        <w:t>a</w:t>
      </w:r>
      <w:r w:rsidR="00795CE8" w:rsidRPr="006458F3">
        <w:t xml:space="preserve"> lack of support </w:t>
      </w:r>
      <w:r w:rsidR="00795CE8">
        <w:t>at work</w:t>
      </w:r>
      <w:r w:rsidR="00795CE8" w:rsidRPr="006458F3">
        <w:t xml:space="preserve"> </w:t>
      </w:r>
      <w:r w:rsidR="00BD3A57">
        <w:t xml:space="preserve">and, as a result, </w:t>
      </w:r>
      <w:r w:rsidR="00795CE8">
        <w:t>not</w:t>
      </w:r>
      <w:r w:rsidR="00A07F2F">
        <w:t xml:space="preserve"> having the physical or emotional energy to </w:t>
      </w:r>
      <w:r w:rsidR="00D06816">
        <w:t>push through</w:t>
      </w:r>
      <w:r w:rsidR="00A07F2F">
        <w:t xml:space="preserve"> the </w:t>
      </w:r>
      <w:r w:rsidR="00D06816">
        <w:t xml:space="preserve">barriers </w:t>
      </w:r>
      <w:r w:rsidR="00BD3A57">
        <w:t>of</w:t>
      </w:r>
      <w:r w:rsidR="00D06816">
        <w:t xml:space="preserve"> applying for Support Funds</w:t>
      </w:r>
      <w:r w:rsidR="00795CE8">
        <w:t xml:space="preserve">. This felt to them like a “Catch-22” that </w:t>
      </w:r>
      <w:r w:rsidR="00BD3A57">
        <w:t>c</w:t>
      </w:r>
      <w:r w:rsidR="00795CE8">
        <w:t>ould be solved by making the application process less laborious.</w:t>
      </w:r>
    </w:p>
    <w:p w14:paraId="5E3FD707" w14:textId="101C48D2" w:rsidR="00663CED" w:rsidRDefault="00826489" w:rsidP="00663CED">
      <w:pPr>
        <w:pStyle w:val="Heading3"/>
      </w:pPr>
      <w:bookmarkStart w:id="51" w:name="_Toc106198822"/>
      <w:bookmarkStart w:id="52" w:name="_Toc106351816"/>
      <w:bookmarkStart w:id="53" w:name="_Toc106353149"/>
      <w:bookmarkStart w:id="54" w:name="_Toc106381576"/>
      <w:bookmarkStart w:id="55" w:name="_Toc106639981"/>
      <w:bookmarkStart w:id="56" w:name="_Toc107500756"/>
      <w:bookmarkStart w:id="57" w:name="_Toc107502751"/>
      <w:bookmarkStart w:id="58" w:name="_Toc108022126"/>
      <w:bookmarkStart w:id="59" w:name="_Toc133076247"/>
      <w:bookmarkStart w:id="60" w:name="_Toc106351830"/>
      <w:bookmarkStart w:id="61" w:name="_Toc106353163"/>
      <w:bookmarkStart w:id="62" w:name="_Toc106381587"/>
      <w:bookmarkStart w:id="63" w:name="_Toc106639992"/>
      <w:bookmarkStart w:id="64" w:name="_Toc107500767"/>
      <w:bookmarkStart w:id="65" w:name="_Toc107502762"/>
      <w:bookmarkStart w:id="66" w:name="_Toc108022139"/>
      <w:bookmarkStart w:id="67" w:name="_Toc106198826"/>
      <w:bookmarkStart w:id="68" w:name="_Toc106351820"/>
      <w:bookmarkStart w:id="69" w:name="_Toc106353153"/>
      <w:bookmarkStart w:id="70" w:name="_Toc106381579"/>
      <w:bookmarkStart w:id="71" w:name="_Toc106639984"/>
      <w:bookmarkStart w:id="72" w:name="_Toc107500759"/>
      <w:bookmarkStart w:id="73" w:name="_Toc107502754"/>
      <w:bookmarkStart w:id="74" w:name="_Toc108022129"/>
      <w:bookmarkStart w:id="75" w:name="_Toc106198819"/>
      <w:bookmarkStart w:id="76" w:name="_Toc106351813"/>
      <w:bookmarkStart w:id="77" w:name="_Toc106353146"/>
      <w:bookmarkStart w:id="78" w:name="_Toc106381572"/>
      <w:bookmarkStart w:id="79" w:name="_Toc106639977"/>
      <w:bookmarkStart w:id="80" w:name="_Toc107500752"/>
      <w:bookmarkStart w:id="81" w:name="_Toc107502747"/>
      <w:bookmarkStart w:id="82" w:name="_Toc108022122"/>
      <w:r>
        <w:lastRenderedPageBreak/>
        <w:t>The</w:t>
      </w:r>
      <w:r w:rsidR="00663CED">
        <w:t xml:space="preserve"> </w:t>
      </w:r>
      <w:r>
        <w:t>‘</w:t>
      </w:r>
      <w:r w:rsidR="00663CED" w:rsidRPr="00E64FA7">
        <w:t>fund</w:t>
      </w:r>
      <w:r w:rsidR="00663CED">
        <w:t xml:space="preserve"> of last </w:t>
      </w:r>
      <w:r w:rsidR="00663CED" w:rsidRPr="004A79E1">
        <w:t>resort</w:t>
      </w:r>
      <w:bookmarkEnd w:id="51"/>
      <w:bookmarkEnd w:id="52"/>
      <w:bookmarkEnd w:id="53"/>
      <w:bookmarkEnd w:id="54"/>
      <w:bookmarkEnd w:id="55"/>
      <w:bookmarkEnd w:id="56"/>
      <w:bookmarkEnd w:id="57"/>
      <w:bookmarkEnd w:id="58"/>
      <w:r>
        <w:t>’</w:t>
      </w:r>
      <w:bookmarkEnd w:id="59"/>
    </w:p>
    <w:p w14:paraId="15A4FF22" w14:textId="2C32C9B1" w:rsidR="00C331AB" w:rsidRDefault="00663CED" w:rsidP="00C331AB">
      <w:r w:rsidRPr="00E64FA7">
        <w:t xml:space="preserve">Applying for </w:t>
      </w:r>
      <w:r>
        <w:t>Support Funds</w:t>
      </w:r>
      <w:r w:rsidRPr="00E64FA7">
        <w:t xml:space="preserve"> is predicated on the statement that it should be “a fund of last resort”. </w:t>
      </w:r>
      <w:r>
        <w:t xml:space="preserve">Applicants </w:t>
      </w:r>
      <w:r w:rsidRPr="006458F3">
        <w:t xml:space="preserve">have to prove </w:t>
      </w:r>
      <w:r>
        <w:t>they</w:t>
      </w:r>
      <w:r w:rsidRPr="006458F3">
        <w:t xml:space="preserve"> have </w:t>
      </w:r>
      <w:r w:rsidRPr="00E64FA7">
        <w:t>exhausted all funding avenues before being considered</w:t>
      </w:r>
      <w:r w:rsidR="00C331AB">
        <w:t>. F</w:t>
      </w:r>
      <w:r>
        <w:t>or example</w:t>
      </w:r>
      <w:r w:rsidR="00C331AB">
        <w:t>,</w:t>
      </w:r>
      <w:r>
        <w:t xml:space="preserve"> asking their </w:t>
      </w:r>
      <w:r w:rsidRPr="006458F3">
        <w:t>employer</w:t>
      </w:r>
      <w:r>
        <w:t xml:space="preserve"> and </w:t>
      </w:r>
      <w:r w:rsidRPr="006458F3">
        <w:t>explor</w:t>
      </w:r>
      <w:r>
        <w:t>ing</w:t>
      </w:r>
      <w:r w:rsidRPr="006458F3">
        <w:t xml:space="preserve"> </w:t>
      </w:r>
      <w:r>
        <w:t xml:space="preserve">philanthropic avenues </w:t>
      </w:r>
      <w:r w:rsidRPr="006458F3">
        <w:t xml:space="preserve">before </w:t>
      </w:r>
      <w:r>
        <w:t>an</w:t>
      </w:r>
      <w:r w:rsidRPr="006458F3">
        <w:t xml:space="preserve"> application</w:t>
      </w:r>
      <w:r>
        <w:t xml:space="preserve"> will be considered.</w:t>
      </w:r>
      <w:r>
        <w:rPr>
          <w:rStyle w:val="Emphasis"/>
          <w:i w:val="0"/>
          <w:iCs w:val="0"/>
        </w:rPr>
        <w:t xml:space="preserve"> </w:t>
      </w:r>
      <w:r>
        <w:t>Some</w:t>
      </w:r>
      <w:r w:rsidRPr="006458F3">
        <w:t xml:space="preserve"> </w:t>
      </w:r>
      <w:r>
        <w:t>disabled people receive</w:t>
      </w:r>
      <w:r w:rsidRPr="006458F3">
        <w:t xml:space="preserve"> a great deal of support from </w:t>
      </w:r>
      <w:r>
        <w:t>their</w:t>
      </w:r>
      <w:r w:rsidRPr="006458F3">
        <w:t xml:space="preserve"> employers alrea</w:t>
      </w:r>
      <w:r w:rsidRPr="008D11EC">
        <w:rPr>
          <w:color w:val="auto"/>
        </w:rPr>
        <w:t>dy</w:t>
      </w:r>
      <w:r w:rsidRPr="008D11EC">
        <w:rPr>
          <w:rStyle w:val="SubtleEmphasis"/>
          <w:i w:val="0"/>
          <w:iCs w:val="0"/>
          <w:color w:val="auto"/>
        </w:rPr>
        <w:t xml:space="preserve"> and </w:t>
      </w:r>
      <w:r>
        <w:rPr>
          <w:rStyle w:val="Emphasis"/>
          <w:i w:val="0"/>
          <w:iCs w:val="0"/>
        </w:rPr>
        <w:t>many feel it is</w:t>
      </w:r>
      <w:r w:rsidRPr="006458F3">
        <w:t xml:space="preserve"> unreasonable to expect employers to foot the bill.</w:t>
      </w:r>
      <w:r>
        <w:t xml:space="preserve"> </w:t>
      </w:r>
      <w:r>
        <w:rPr>
          <w:rStyle w:val="Emphasis"/>
          <w:i w:val="0"/>
          <w:iCs w:val="0"/>
        </w:rPr>
        <w:t>Having to ask for support from an employer before securing a job is seen as an extra barrier to employment, with the fear that it will lead to not being successful in securing a role.</w:t>
      </w:r>
    </w:p>
    <w:p w14:paraId="0F14C581" w14:textId="610C6676" w:rsidR="00663CED" w:rsidRPr="00C331AB" w:rsidRDefault="00663CED" w:rsidP="00663CED">
      <w:pPr>
        <w:rPr>
          <w:color w:val="auto"/>
        </w:rPr>
      </w:pPr>
      <w:r>
        <w:t>It quickly became apparent through these discussions with members that the term evoked a range of feelings.</w:t>
      </w:r>
      <w:r>
        <w:rPr>
          <w:color w:val="767171" w:themeColor="background2" w:themeShade="80"/>
        </w:rPr>
        <w:t xml:space="preserve"> </w:t>
      </w:r>
      <w:r w:rsidR="006245E8">
        <w:rPr>
          <w:lang w:eastAsia="en-NZ"/>
        </w:rPr>
        <w:t xml:space="preserve">People </w:t>
      </w:r>
      <w:r w:rsidR="00C331AB">
        <w:rPr>
          <w:lang w:eastAsia="en-NZ"/>
        </w:rPr>
        <w:t xml:space="preserve">talked about it giving them the impression that the fund was probably unobtainable. </w:t>
      </w:r>
      <w:r>
        <w:t xml:space="preserve">For some, even though their funding was </w:t>
      </w:r>
      <w:r w:rsidR="006245E8">
        <w:t xml:space="preserve">in fact </w:t>
      </w:r>
      <w:r>
        <w:t xml:space="preserve">a last resort, they </w:t>
      </w:r>
      <w:r w:rsidRPr="00E137C8">
        <w:rPr>
          <w:color w:val="auto"/>
        </w:rPr>
        <w:t>still felt judged by those with decision-making power</w:t>
      </w:r>
      <w:r w:rsidR="006245E8">
        <w:rPr>
          <w:color w:val="auto"/>
        </w:rPr>
        <w:t xml:space="preserve">. They </w:t>
      </w:r>
      <w:r w:rsidRPr="00E137C8">
        <w:rPr>
          <w:color w:val="auto"/>
        </w:rPr>
        <w:t>wished that</w:t>
      </w:r>
      <w:r>
        <w:rPr>
          <w:color w:val="auto"/>
        </w:rPr>
        <w:t xml:space="preserve"> </w:t>
      </w:r>
      <w:r w:rsidR="002148BE">
        <w:rPr>
          <w:color w:val="auto"/>
        </w:rPr>
        <w:t>people</w:t>
      </w:r>
      <w:r>
        <w:rPr>
          <w:color w:val="auto"/>
        </w:rPr>
        <w:t xml:space="preserve"> </w:t>
      </w:r>
      <w:r w:rsidRPr="00E137C8">
        <w:rPr>
          <w:color w:val="auto"/>
        </w:rPr>
        <w:t xml:space="preserve">understood they already receive other supports and </w:t>
      </w:r>
      <w:r>
        <w:rPr>
          <w:color w:val="auto"/>
        </w:rPr>
        <w:t>were “not</w:t>
      </w:r>
      <w:r w:rsidRPr="00E137C8">
        <w:rPr>
          <w:color w:val="auto"/>
        </w:rPr>
        <w:t xml:space="preserve"> </w:t>
      </w:r>
      <w:r>
        <w:rPr>
          <w:color w:val="auto"/>
        </w:rPr>
        <w:t xml:space="preserve">simply </w:t>
      </w:r>
      <w:r w:rsidRPr="00E137C8">
        <w:rPr>
          <w:color w:val="auto"/>
        </w:rPr>
        <w:t>running to government for a hand-out</w:t>
      </w:r>
      <w:r>
        <w:rPr>
          <w:color w:val="auto"/>
        </w:rPr>
        <w:t>”</w:t>
      </w:r>
      <w:r w:rsidRPr="00E137C8">
        <w:rPr>
          <w:color w:val="auto"/>
        </w:rPr>
        <w:t>.</w:t>
      </w:r>
      <w:r w:rsidR="00C331AB">
        <w:rPr>
          <w:color w:val="auto"/>
        </w:rPr>
        <w:t xml:space="preserve"> </w:t>
      </w:r>
      <w:r>
        <w:t>It was also acknowledged that, even with other funding sources, most applicants would not be able to remain employed without access to Support Funds.</w:t>
      </w:r>
    </w:p>
    <w:p w14:paraId="5DB25B87" w14:textId="253E95C8" w:rsidR="00663CED" w:rsidRPr="0016625D" w:rsidRDefault="00663CED" w:rsidP="00663CED">
      <w:r>
        <w:t>When exploring all possible options, people who are under ACC are required to provide, in writing, proof of decline for funding. This involves a laborious process taking up to 20 working days before the Support Funds process can even begin. This can leave disabled people unsupported in the workplace for a significant amount of time</w:t>
      </w:r>
      <w:r w:rsidR="006245E8">
        <w:t xml:space="preserve"> and highlights the challenges some people face in demonstrating their request for Support Funds </w:t>
      </w:r>
      <w:r w:rsidR="00D95F6D">
        <w:t>a</w:t>
      </w:r>
      <w:r w:rsidR="006245E8">
        <w:t>s a ‘last resort’.</w:t>
      </w:r>
    </w:p>
    <w:p w14:paraId="6AFB498B" w14:textId="7454326F" w:rsidR="00222006" w:rsidRDefault="00826489" w:rsidP="00EA0BC6">
      <w:pPr>
        <w:pStyle w:val="Heading3"/>
      </w:pPr>
      <w:bookmarkStart w:id="83" w:name="_Toc133076248"/>
      <w:r>
        <w:t>Access to t</w:t>
      </w:r>
      <w:r w:rsidR="00222006" w:rsidRPr="00172243">
        <w:t>ransport</w:t>
      </w:r>
      <w:r w:rsidR="00962713">
        <w:t xml:space="preserve"> </w:t>
      </w:r>
      <w:r w:rsidR="00471D48">
        <w:t>s</w:t>
      </w:r>
      <w:r w:rsidR="00962713">
        <w:t>upport</w:t>
      </w:r>
      <w:bookmarkEnd w:id="83"/>
    </w:p>
    <w:p w14:paraId="2A02F84B" w14:textId="77777777" w:rsidR="00681BE8" w:rsidRDefault="00EA0BC6" w:rsidP="00222006">
      <w:pPr>
        <w:rPr>
          <w:rStyle w:val="Emphasis"/>
          <w:i w:val="0"/>
          <w:iCs w:val="0"/>
        </w:rPr>
      </w:pPr>
      <w:r>
        <w:t xml:space="preserve">For many people who require </w:t>
      </w:r>
      <w:r w:rsidR="006245E8">
        <w:t>Support Funds for transport</w:t>
      </w:r>
      <w:r>
        <w:t>, the frequency of their travel</w:t>
      </w:r>
      <w:r w:rsidR="006245E8">
        <w:t xml:space="preserve"> needs</w:t>
      </w:r>
      <w:r>
        <w:t xml:space="preserve"> is indeterminable. </w:t>
      </w:r>
      <w:r w:rsidR="00222006">
        <w:t xml:space="preserve">Funding for transportation is only </w:t>
      </w:r>
      <w:r w:rsidR="006245E8">
        <w:t>approved</w:t>
      </w:r>
      <w:r w:rsidR="00222006">
        <w:t xml:space="preserve"> when public transport is not available or accessible. Despite demonstrating this as the case, one disabled person we spoke to experienced judgement when applying</w:t>
      </w:r>
      <w:r>
        <w:t xml:space="preserve"> and others felt uncomfortable </w:t>
      </w:r>
      <w:r w:rsidR="006245E8">
        <w:t xml:space="preserve">constantly </w:t>
      </w:r>
      <w:r>
        <w:t>having to justify their transport choices when oftentimes there was no choice</w:t>
      </w:r>
      <w:r w:rsidR="00CF1C03">
        <w:t xml:space="preserve">. </w:t>
      </w:r>
    </w:p>
    <w:p w14:paraId="1EC9E16C" w14:textId="0F20838C" w:rsidR="00D95BBF" w:rsidRDefault="00CF1C03" w:rsidP="00222006">
      <w:r>
        <w:lastRenderedPageBreak/>
        <w:t xml:space="preserve">For those who have </w:t>
      </w:r>
      <w:r w:rsidR="00681BE8">
        <w:t xml:space="preserve">flexible or </w:t>
      </w:r>
      <w:r>
        <w:t xml:space="preserve">hybrid work arrangements, accessing </w:t>
      </w:r>
      <w:r w:rsidR="001F7E9B">
        <w:t>S</w:t>
      </w:r>
      <w:r>
        <w:t xml:space="preserve">upport </w:t>
      </w:r>
      <w:r w:rsidR="001F7E9B">
        <w:t>F</w:t>
      </w:r>
      <w:r>
        <w:t xml:space="preserve">unds for travel-related support </w:t>
      </w:r>
      <w:r w:rsidR="00681BE8">
        <w:t>i</w:t>
      </w:r>
      <w:r w:rsidR="00661C84">
        <w:t xml:space="preserve">s particularly challenging due to a </w:t>
      </w:r>
      <w:r w:rsidR="007C6A35">
        <w:t xml:space="preserve">lack of </w:t>
      </w:r>
      <w:r w:rsidR="00226D4B">
        <w:t>flexibility</w:t>
      </w:r>
      <w:r w:rsidR="00661C84">
        <w:t xml:space="preserve"> around</w:t>
      </w:r>
      <w:r w:rsidR="00661C84" w:rsidRPr="006458F3">
        <w:t xml:space="preserve"> </w:t>
      </w:r>
      <w:r w:rsidR="007C6A35">
        <w:t xml:space="preserve">the </w:t>
      </w:r>
      <w:r w:rsidR="00661C84" w:rsidRPr="006458F3">
        <w:t xml:space="preserve">uncertainties </w:t>
      </w:r>
      <w:r w:rsidR="007C6A35">
        <w:t xml:space="preserve">of </w:t>
      </w:r>
      <w:r w:rsidR="00661C84" w:rsidRPr="006458F3">
        <w:t>when transport support is required</w:t>
      </w:r>
      <w:r w:rsidR="007C6A35">
        <w:t xml:space="preserve">. For example, </w:t>
      </w:r>
      <w:r w:rsidR="00681BE8">
        <w:t>people</w:t>
      </w:r>
      <w:r w:rsidR="007C6A35">
        <w:t xml:space="preserve"> who can only provide a guestimate of </w:t>
      </w:r>
      <w:r w:rsidR="00226D4B">
        <w:t xml:space="preserve">the number of trips they </w:t>
      </w:r>
      <w:r w:rsidR="00681BE8">
        <w:t>require</w:t>
      </w:r>
      <w:r w:rsidR="00226D4B">
        <w:t xml:space="preserve"> </w:t>
      </w:r>
      <w:r w:rsidR="00681BE8">
        <w:t xml:space="preserve">would often be </w:t>
      </w:r>
      <w:r w:rsidR="00226D4B">
        <w:t xml:space="preserve">questioned </w:t>
      </w:r>
      <w:r w:rsidR="00681BE8">
        <w:t>repeatedly</w:t>
      </w:r>
      <w:r w:rsidR="00226D4B">
        <w:t xml:space="preserve"> </w:t>
      </w:r>
      <w:r w:rsidR="00681BE8">
        <w:t xml:space="preserve">and feel pressured to give a number. This </w:t>
      </w:r>
      <w:r w:rsidR="00226D4B">
        <w:t xml:space="preserve">created anxiety </w:t>
      </w:r>
      <w:r w:rsidR="00681BE8">
        <w:t>for</w:t>
      </w:r>
      <w:r w:rsidR="00226D4B">
        <w:t xml:space="preserve"> some</w:t>
      </w:r>
      <w:r w:rsidR="00681BE8">
        <w:t xml:space="preserve">. People </w:t>
      </w:r>
      <w:r w:rsidR="00226D4B">
        <w:t xml:space="preserve">feared </w:t>
      </w:r>
      <w:r w:rsidR="00222006" w:rsidRPr="006458F3">
        <w:t xml:space="preserve">that if </w:t>
      </w:r>
      <w:r w:rsidR="00BB1F1A">
        <w:t xml:space="preserve">they didn’t </w:t>
      </w:r>
      <w:r w:rsidR="00222006" w:rsidRPr="006458F3">
        <w:t xml:space="preserve">use up </w:t>
      </w:r>
      <w:r w:rsidR="00BB1F1A">
        <w:t>all the</w:t>
      </w:r>
      <w:r w:rsidR="00681BE8">
        <w:t>ir</w:t>
      </w:r>
      <w:r w:rsidR="00BB1F1A">
        <w:t xml:space="preserve"> allocated trips,</w:t>
      </w:r>
      <w:r w:rsidR="00222006" w:rsidRPr="006458F3">
        <w:t xml:space="preserve"> </w:t>
      </w:r>
      <w:r w:rsidR="00BB1F1A">
        <w:t>they wouldn’t</w:t>
      </w:r>
      <w:r w:rsidR="00222006" w:rsidRPr="006458F3">
        <w:t xml:space="preserve"> be able to get funding for that amount the next </w:t>
      </w:r>
      <w:r w:rsidR="00BE7DA0" w:rsidRPr="006458F3">
        <w:t>time</w:t>
      </w:r>
      <w:r w:rsidR="00BE7DA0">
        <w:t xml:space="preserve"> or</w:t>
      </w:r>
      <w:r w:rsidR="00681BE8">
        <w:t xml:space="preserve"> feared that they would be left short.</w:t>
      </w:r>
      <w:r w:rsidR="00B83A55">
        <w:t xml:space="preserve"> </w:t>
      </w:r>
      <w:r w:rsidR="00D95BBF">
        <w:t xml:space="preserve">This was the case for many people whose workplaces </w:t>
      </w:r>
      <w:r w:rsidR="00C03DEB">
        <w:t>shifted</w:t>
      </w:r>
      <w:r w:rsidR="00FD6B66">
        <w:t xml:space="preserve"> to work-from-home during COVID-19 lockdowns and have still not returned </w:t>
      </w:r>
      <w:r w:rsidR="00C03DEB">
        <w:t xml:space="preserve">to the office. </w:t>
      </w:r>
      <w:r w:rsidR="0011063C">
        <w:t xml:space="preserve">For those people, </w:t>
      </w:r>
      <w:r w:rsidR="005958F1">
        <w:t xml:space="preserve">there was a feeling that </w:t>
      </w:r>
      <w:r w:rsidR="00681BE8">
        <w:t xml:space="preserve">an </w:t>
      </w:r>
      <w:r w:rsidR="005958F1">
        <w:t>unpredictable work schedule jeopardised their ability to access transport support.</w:t>
      </w:r>
      <w:r w:rsidR="006245E8" w:rsidRPr="006245E8">
        <w:t xml:space="preserve"> </w:t>
      </w:r>
      <w:r w:rsidR="006245E8">
        <w:t xml:space="preserve">Many people </w:t>
      </w:r>
      <w:r w:rsidR="00681BE8">
        <w:t xml:space="preserve">who </w:t>
      </w:r>
      <w:r w:rsidR="006245E8">
        <w:t>felt Support Funds staff</w:t>
      </w:r>
      <w:r w:rsidR="006245E8" w:rsidRPr="006458F3">
        <w:t xml:space="preserve"> </w:t>
      </w:r>
      <w:r w:rsidR="006245E8">
        <w:t xml:space="preserve">were hesitant to approve </w:t>
      </w:r>
      <w:r w:rsidR="006245E8" w:rsidRPr="006458F3">
        <w:t>applica</w:t>
      </w:r>
      <w:r w:rsidR="006245E8">
        <w:t xml:space="preserve">tions </w:t>
      </w:r>
      <w:r w:rsidR="006245E8" w:rsidRPr="006458F3">
        <w:t xml:space="preserve">for transport </w:t>
      </w:r>
      <w:r w:rsidR="006245E8">
        <w:t xml:space="preserve">support suspected this </w:t>
      </w:r>
      <w:r w:rsidR="00681BE8">
        <w:t xml:space="preserve">uncertainty </w:t>
      </w:r>
      <w:r w:rsidR="006245E8">
        <w:t>came from not understanding the nuances around people’s transport needs.</w:t>
      </w:r>
    </w:p>
    <w:p w14:paraId="63246E61" w14:textId="52EE2E96" w:rsidR="009C7CF3" w:rsidRPr="00426370" w:rsidRDefault="00222006" w:rsidP="00222006">
      <w:r>
        <w:t xml:space="preserve">Disabled people </w:t>
      </w:r>
      <w:r w:rsidR="005958F1">
        <w:t xml:space="preserve">also </w:t>
      </w:r>
      <w:r>
        <w:t xml:space="preserve">felt this was a way for </w:t>
      </w:r>
      <w:r w:rsidR="00681BE8">
        <w:t xml:space="preserve">the Support Funds </w:t>
      </w:r>
      <w:r>
        <w:t>to be conservative with funding allocations. They understood the strategy but also felt that it created more administration</w:t>
      </w:r>
      <w:r w:rsidR="00681BE8">
        <w:t xml:space="preserve"> and</w:t>
      </w:r>
      <w:r w:rsidR="006906EB">
        <w:t xml:space="preserve"> </w:t>
      </w:r>
      <w:r>
        <w:t>a lack of flexibility</w:t>
      </w:r>
      <w:r w:rsidR="00681BE8">
        <w:t xml:space="preserve"> which</w:t>
      </w:r>
      <w:r w:rsidR="006906EB">
        <w:t xml:space="preserve"> resulted in more precariousness around Support Funds in general.</w:t>
      </w:r>
      <w:r w:rsidR="009C7CF3">
        <w:t xml:space="preserve"> However, it was also acknowledged that there were </w:t>
      </w:r>
      <w:r w:rsidR="00D95F6D">
        <w:t>fewer</w:t>
      </w:r>
      <w:r w:rsidR="009C7CF3">
        <w:t xml:space="preserve"> nuances around funding transport than there had been in the past, which was appreciated</w:t>
      </w:r>
      <w:r w:rsidR="00681BE8">
        <w:t xml:space="preserve"> by many.</w:t>
      </w:r>
    </w:p>
    <w:p w14:paraId="19FD4054" w14:textId="08500A69" w:rsidR="0009094A" w:rsidRDefault="0009094A" w:rsidP="0009094A">
      <w:pPr>
        <w:pStyle w:val="Heading3"/>
      </w:pPr>
      <w:bookmarkStart w:id="84" w:name="_Toc133076249"/>
      <w:r>
        <w:t>Self-employ</w:t>
      </w:r>
      <w:r w:rsidR="00C851C3">
        <w:t xml:space="preserve">ment </w:t>
      </w:r>
      <w:bookmarkEnd w:id="60"/>
      <w:bookmarkEnd w:id="61"/>
      <w:bookmarkEnd w:id="62"/>
      <w:bookmarkEnd w:id="63"/>
      <w:bookmarkEnd w:id="64"/>
      <w:bookmarkEnd w:id="65"/>
      <w:bookmarkEnd w:id="66"/>
      <w:r w:rsidR="00C851C3">
        <w:t>challenges</w:t>
      </w:r>
      <w:bookmarkEnd w:id="84"/>
    </w:p>
    <w:p w14:paraId="5EFA1A2C" w14:textId="3A798F3E" w:rsidR="00C12836" w:rsidRDefault="00681BE8" w:rsidP="0009094A">
      <w:r>
        <w:t>S</w:t>
      </w:r>
      <w:r w:rsidR="005134E6">
        <w:t>elf-employed</w:t>
      </w:r>
      <w:r>
        <w:t xml:space="preserve"> disabled people felt that</w:t>
      </w:r>
      <w:r w:rsidR="005134E6">
        <w:t xml:space="preserve"> accessing Support Funds pose</w:t>
      </w:r>
      <w:r w:rsidR="00A7411B">
        <w:t>d</w:t>
      </w:r>
      <w:r w:rsidR="005134E6">
        <w:t xml:space="preserve"> significant challenges. </w:t>
      </w:r>
      <w:r w:rsidR="007E6E6D">
        <w:t xml:space="preserve">For example, </w:t>
      </w:r>
      <w:r w:rsidR="00512B79" w:rsidRPr="006458F3">
        <w:t>highly</w:t>
      </w:r>
      <w:r w:rsidR="00512B79">
        <w:t xml:space="preserve"> skilled</w:t>
      </w:r>
      <w:r w:rsidR="007E6E6D" w:rsidRPr="006458F3">
        <w:t xml:space="preserve"> people who have their own consultancy businesses</w:t>
      </w:r>
      <w:r w:rsidR="007E6E6D">
        <w:t xml:space="preserve"> felt they were </w:t>
      </w:r>
      <w:r w:rsidR="007E6E6D" w:rsidRPr="006458F3">
        <w:t xml:space="preserve">constantly working outside of </w:t>
      </w:r>
      <w:r w:rsidR="00FE2B06">
        <w:t xml:space="preserve">a </w:t>
      </w:r>
      <w:r w:rsidR="007E6E6D" w:rsidRPr="006458F3">
        <w:t>narrow scope</w:t>
      </w:r>
      <w:r w:rsidR="00E57693">
        <w:t xml:space="preserve">, making it harder to be successful in their business and missing out on </w:t>
      </w:r>
      <w:r>
        <w:t xml:space="preserve">career </w:t>
      </w:r>
      <w:r w:rsidR="00E57693">
        <w:t xml:space="preserve">opportunities due to </w:t>
      </w:r>
      <w:r w:rsidR="00CB6486">
        <w:t>an inability to access Support Funds.</w:t>
      </w:r>
      <w:r w:rsidR="00560D97">
        <w:t xml:space="preserve"> This was especially the case for those who were new to </w:t>
      </w:r>
      <w:r w:rsidR="005C081E">
        <w:t>being self-employed</w:t>
      </w:r>
      <w:r w:rsidR="00C12836">
        <w:t xml:space="preserve"> and</w:t>
      </w:r>
      <w:r w:rsidR="00C12836" w:rsidRPr="00C12836">
        <w:t xml:space="preserve"> needing to have audited accounts</w:t>
      </w:r>
      <w:r w:rsidR="00C12836">
        <w:t xml:space="preserve">, which is </w:t>
      </w:r>
      <w:r w:rsidR="00C12836" w:rsidRPr="00C12836">
        <w:t>something most who are self-employed would not otherwise need</w:t>
      </w:r>
      <w:r w:rsidR="00C12836">
        <w:t>,</w:t>
      </w:r>
      <w:r w:rsidR="00C12836" w:rsidRPr="00C12836">
        <w:t xml:space="preserve"> creating </w:t>
      </w:r>
      <w:r w:rsidR="00C12836">
        <w:t>further</w:t>
      </w:r>
      <w:r w:rsidR="00C12836" w:rsidRPr="00C12836">
        <w:t xml:space="preserve"> </w:t>
      </w:r>
      <w:r w:rsidR="00C12836">
        <w:t>financial and access</w:t>
      </w:r>
      <w:r w:rsidR="00C12836" w:rsidRPr="00C12836">
        <w:t xml:space="preserve"> barrier</w:t>
      </w:r>
      <w:r w:rsidR="00C12836">
        <w:t>s.</w:t>
      </w:r>
    </w:p>
    <w:p w14:paraId="696A5B05" w14:textId="3F5A2CE4" w:rsidR="0009094A" w:rsidRDefault="005134E6" w:rsidP="0009094A">
      <w:r>
        <w:t xml:space="preserve">Members </w:t>
      </w:r>
      <w:r w:rsidR="00C12836">
        <w:t xml:space="preserve">providing </w:t>
      </w:r>
      <w:r w:rsidR="00C12836" w:rsidRPr="00C12836">
        <w:t>casual contracts for services</w:t>
      </w:r>
      <w:r w:rsidR="00C12836">
        <w:t xml:space="preserve"> </w:t>
      </w:r>
      <w:r w:rsidR="005C081E">
        <w:t xml:space="preserve">also </w:t>
      </w:r>
      <w:r w:rsidR="00A7411B">
        <w:t xml:space="preserve">found they did not qualify for funding </w:t>
      </w:r>
      <w:r w:rsidR="005C3E9C">
        <w:t xml:space="preserve">and </w:t>
      </w:r>
      <w:r w:rsidR="00227D1A">
        <w:t>wished</w:t>
      </w:r>
      <w:r w:rsidR="005C3E9C">
        <w:t xml:space="preserve"> that </w:t>
      </w:r>
      <w:r w:rsidR="00FE2B06">
        <w:t xml:space="preserve">there was more flexibility </w:t>
      </w:r>
      <w:r w:rsidR="0009094A" w:rsidRPr="006458F3">
        <w:t xml:space="preserve">to cover </w:t>
      </w:r>
      <w:r w:rsidR="005C081E">
        <w:t>these situations</w:t>
      </w:r>
      <w:r w:rsidR="00BC6ABB">
        <w:t>,</w:t>
      </w:r>
      <w:r w:rsidR="004A5E53">
        <w:t xml:space="preserve"> as </w:t>
      </w:r>
      <w:r w:rsidR="00C12836">
        <w:t xml:space="preserve">exists </w:t>
      </w:r>
      <w:r w:rsidR="00C12836">
        <w:lastRenderedPageBreak/>
        <w:t>for those under</w:t>
      </w:r>
      <w:r w:rsidR="00BC6ABB">
        <w:t xml:space="preserve"> ACC</w:t>
      </w:r>
      <w:r w:rsidR="0028037C">
        <w:t>.</w:t>
      </w:r>
      <w:r w:rsidR="005C081E">
        <w:t xml:space="preserve"> It was emphasised that a person’s difference in employment type did not change their </w:t>
      </w:r>
      <w:r w:rsidR="0009094A" w:rsidRPr="006458F3">
        <w:t>need</w:t>
      </w:r>
      <w:r w:rsidR="005C081E">
        <w:t xml:space="preserve"> for</w:t>
      </w:r>
      <w:r w:rsidR="0009094A" w:rsidRPr="006458F3">
        <w:t xml:space="preserve"> support</w:t>
      </w:r>
      <w:r w:rsidR="0009094A">
        <w:t>.</w:t>
      </w:r>
    </w:p>
    <w:p w14:paraId="16022198" w14:textId="77777777" w:rsidR="00110BA6" w:rsidRDefault="00110BA6" w:rsidP="00110BA6">
      <w:pPr>
        <w:pStyle w:val="Heading3"/>
        <w:rPr>
          <w:lang w:val="en-US"/>
        </w:rPr>
      </w:pPr>
      <w:bookmarkStart w:id="85" w:name="_Toc133076250"/>
      <w:bookmarkEnd w:id="67"/>
      <w:bookmarkEnd w:id="68"/>
      <w:bookmarkEnd w:id="69"/>
      <w:bookmarkEnd w:id="70"/>
      <w:bookmarkEnd w:id="71"/>
      <w:bookmarkEnd w:id="72"/>
      <w:bookmarkEnd w:id="73"/>
      <w:bookmarkEnd w:id="74"/>
      <w:r>
        <w:rPr>
          <w:lang w:val="en-US"/>
        </w:rPr>
        <w:t>Declined applications</w:t>
      </w:r>
      <w:bookmarkEnd w:id="75"/>
      <w:bookmarkEnd w:id="76"/>
      <w:bookmarkEnd w:id="77"/>
      <w:bookmarkEnd w:id="78"/>
      <w:bookmarkEnd w:id="79"/>
      <w:bookmarkEnd w:id="80"/>
      <w:bookmarkEnd w:id="81"/>
      <w:bookmarkEnd w:id="82"/>
      <w:bookmarkEnd w:id="85"/>
    </w:p>
    <w:p w14:paraId="64990133" w14:textId="659476D3" w:rsidR="008316DE" w:rsidRDefault="00681BE8" w:rsidP="008316DE">
      <w:r>
        <w:rPr>
          <w:lang w:val="en-US"/>
        </w:rPr>
        <w:t>The Ministry of Social Development stated t</w:t>
      </w:r>
      <w:r w:rsidR="000012B4">
        <w:rPr>
          <w:lang w:val="en-US"/>
        </w:rPr>
        <w:t xml:space="preserve">hat </w:t>
      </w:r>
      <w:r>
        <w:rPr>
          <w:lang w:val="en-US"/>
        </w:rPr>
        <w:t xml:space="preserve">a </w:t>
      </w:r>
      <w:r w:rsidR="008A00F2">
        <w:rPr>
          <w:lang w:val="en-US"/>
        </w:rPr>
        <w:t xml:space="preserve">transfer of administration of the funds from Workbridge to </w:t>
      </w:r>
      <w:r w:rsidR="003C2A14">
        <w:rPr>
          <w:lang w:val="en-US"/>
        </w:rPr>
        <w:t xml:space="preserve">them </w:t>
      </w:r>
      <w:r w:rsidR="00927C7D">
        <w:rPr>
          <w:lang w:val="en-US"/>
        </w:rPr>
        <w:t>“w</w:t>
      </w:r>
      <w:r w:rsidR="00927C7D" w:rsidRPr="00927C7D">
        <w:rPr>
          <w:lang w:val="en-US"/>
        </w:rPr>
        <w:t>ill allow the Ministry to have a single view of an applicant’s needs and determine all Ministry products and services they may be eligible for and applicants will receive their full and appropriate entitlements.</w:t>
      </w:r>
      <w:r w:rsidR="00927C7D">
        <w:rPr>
          <w:lang w:val="en-US"/>
        </w:rPr>
        <w:t>”</w:t>
      </w:r>
      <w:r w:rsidR="00A75BAA">
        <w:rPr>
          <w:rStyle w:val="EndnoteReference"/>
          <w:lang w:val="en-US"/>
        </w:rPr>
        <w:endnoteReference w:id="28"/>
      </w:r>
      <w:r w:rsidR="003C2A14">
        <w:rPr>
          <w:lang w:val="en-US"/>
        </w:rPr>
        <w:t xml:space="preserve"> </w:t>
      </w:r>
      <w:r w:rsidR="005540D8">
        <w:rPr>
          <w:lang w:val="en-US"/>
        </w:rPr>
        <w:t xml:space="preserve">This is viewed as promising, with a hope that “full and appropriate” is </w:t>
      </w:r>
      <w:r w:rsidR="005233F5">
        <w:rPr>
          <w:lang w:val="en-US"/>
        </w:rPr>
        <w:t xml:space="preserve">considered in disabled people’s applications for Support Funds because it is the experience of many that applications are </w:t>
      </w:r>
      <w:r>
        <w:rPr>
          <w:lang w:val="en-US"/>
        </w:rPr>
        <w:t xml:space="preserve">often </w:t>
      </w:r>
      <w:r w:rsidR="005233F5">
        <w:rPr>
          <w:lang w:val="en-US"/>
        </w:rPr>
        <w:t>declined</w:t>
      </w:r>
      <w:r>
        <w:rPr>
          <w:lang w:val="en-US"/>
        </w:rPr>
        <w:t xml:space="preserve"> due to</w:t>
      </w:r>
      <w:r w:rsidR="008316DE">
        <w:rPr>
          <w:lang w:val="en-US"/>
        </w:rPr>
        <w:t xml:space="preserve"> decisions that </w:t>
      </w:r>
      <w:r>
        <w:rPr>
          <w:lang w:val="en-US"/>
        </w:rPr>
        <w:t>are perceived as</w:t>
      </w:r>
      <w:r w:rsidR="008316DE">
        <w:t xml:space="preserve"> either unfair or not making sense.</w:t>
      </w:r>
    </w:p>
    <w:p w14:paraId="4EEEAD02" w14:textId="70B012B5" w:rsidR="00110BA6" w:rsidRPr="00891469" w:rsidRDefault="00110BA6" w:rsidP="00110BA6">
      <w:pPr>
        <w:rPr>
          <w:color w:val="767171" w:themeColor="background2" w:themeShade="80"/>
        </w:rPr>
      </w:pPr>
      <w:r>
        <w:rPr>
          <w:lang w:val="en-US"/>
        </w:rPr>
        <w:t>It is understood that not all Support Fund applications will be approved. However, discussions with disabled people revealed that having their lives decided upon by non-disabled people was inappropriate and at times traumatizing. For example, having panels of non-disabled people reviewing decisions on funding was seen as particularly problematic</w:t>
      </w:r>
      <w:r w:rsidR="004B54C1">
        <w:rPr>
          <w:lang w:val="en-US"/>
        </w:rPr>
        <w:t xml:space="preserve">. One member explained </w:t>
      </w:r>
      <w:r w:rsidRPr="006458F3">
        <w:t>hav</w:t>
      </w:r>
      <w:r w:rsidR="004B54C1">
        <w:t>ing</w:t>
      </w:r>
      <w:r w:rsidRPr="006458F3">
        <w:t xml:space="preserve"> to </w:t>
      </w:r>
      <w:r w:rsidR="004B54C1">
        <w:t>“</w:t>
      </w:r>
      <w:r w:rsidRPr="006458F3">
        <w:t xml:space="preserve">plead </w:t>
      </w:r>
      <w:r w:rsidR="004B54C1">
        <w:t xml:space="preserve">their </w:t>
      </w:r>
      <w:r w:rsidRPr="006458F3">
        <w:t>case</w:t>
      </w:r>
      <w:r w:rsidR="004B54C1">
        <w:t>”</w:t>
      </w:r>
      <w:r w:rsidRPr="006458F3">
        <w:t xml:space="preserve"> to non-disabled people </w:t>
      </w:r>
      <w:r w:rsidR="004B54C1">
        <w:t>in order to</w:t>
      </w:r>
      <w:r w:rsidRPr="006458F3">
        <w:t xml:space="preserve"> </w:t>
      </w:r>
      <w:r w:rsidR="004B54C1">
        <w:t>“</w:t>
      </w:r>
      <w:r w:rsidRPr="006458F3">
        <w:t xml:space="preserve">get access to </w:t>
      </w:r>
      <w:r w:rsidR="004B54C1">
        <w:t>their</w:t>
      </w:r>
      <w:r w:rsidRPr="006458F3">
        <w:t xml:space="preserve"> dignities</w:t>
      </w:r>
      <w:r w:rsidR="004B54C1">
        <w:t>”</w:t>
      </w:r>
      <w:r w:rsidR="00742AC0">
        <w:t xml:space="preserve"> and was </w:t>
      </w:r>
      <w:r w:rsidR="00BB6237">
        <w:t xml:space="preserve">left feeling like their </w:t>
      </w:r>
      <w:r w:rsidR="0094647E">
        <w:t xml:space="preserve">autonomy </w:t>
      </w:r>
      <w:r w:rsidR="00BB6237">
        <w:t>was taken away</w:t>
      </w:r>
      <w:r w:rsidR="00574A9E">
        <w:t xml:space="preserve"> when the application was declined.</w:t>
      </w:r>
      <w:r w:rsidR="00891469">
        <w:rPr>
          <w:rStyle w:val="Emphasis"/>
          <w:i w:val="0"/>
          <w:iCs w:val="0"/>
          <w:color w:val="767171" w:themeColor="background2" w:themeShade="80"/>
        </w:rPr>
        <w:t xml:space="preserve"> </w:t>
      </w:r>
      <w:r w:rsidR="0094647E">
        <w:t>This</w:t>
      </w:r>
      <w:r>
        <w:t xml:space="preserve"> is illustrated in the experience of a disabled teacher, who requested for their funding to be used to purchase digital devices </w:t>
      </w:r>
      <w:r w:rsidR="00574A9E">
        <w:t>for</w:t>
      </w:r>
      <w:r>
        <w:t xml:space="preserve"> the classroom, enabling them to do their job independently. The review panel made suggestions that the disabled person viewed as removing their agency.</w:t>
      </w:r>
    </w:p>
    <w:p w14:paraId="2C23D06C" w14:textId="16F714E8" w:rsidR="00296210" w:rsidRDefault="00110BA6" w:rsidP="00110BA6">
      <w:r>
        <w:t xml:space="preserve">There was </w:t>
      </w:r>
      <w:r w:rsidR="0015633A">
        <w:t xml:space="preserve">also </w:t>
      </w:r>
      <w:r>
        <w:t xml:space="preserve">genuine bewilderment at some </w:t>
      </w:r>
      <w:r w:rsidR="00A84835">
        <w:t xml:space="preserve">of the </w:t>
      </w:r>
      <w:r>
        <w:t>decisions made around eligibility. For example, when applications were partly approved and partly declined even though the equipment being requested would be needed in unison.</w:t>
      </w:r>
      <w:r w:rsidR="0015633A">
        <w:t xml:space="preserve"> An example given was </w:t>
      </w:r>
      <w:r w:rsidR="00BB7A9D">
        <w:t xml:space="preserve">when a </w:t>
      </w:r>
      <w:r w:rsidR="00CC5CD8">
        <w:t>member was</w:t>
      </w:r>
      <w:r w:rsidRPr="006458F3">
        <w:t xml:space="preserve"> </w:t>
      </w:r>
      <w:r w:rsidR="00CC5CD8">
        <w:t xml:space="preserve">approved </w:t>
      </w:r>
      <w:r w:rsidRPr="006458F3">
        <w:t>fund</w:t>
      </w:r>
      <w:r w:rsidR="00CC5CD8">
        <w:t>ing</w:t>
      </w:r>
      <w:r w:rsidRPr="006458F3">
        <w:t xml:space="preserve"> </w:t>
      </w:r>
      <w:r w:rsidR="00CC5CD8">
        <w:t>for some</w:t>
      </w:r>
      <w:r w:rsidRPr="006458F3">
        <w:t xml:space="preserve"> assistive software but not the headset to use it</w:t>
      </w:r>
      <w:r w:rsidR="00826065">
        <w:t xml:space="preserve"> because this was deemed </w:t>
      </w:r>
      <w:r w:rsidR="00B12FF3">
        <w:t>an accommodation to be made by the employer.</w:t>
      </w:r>
    </w:p>
    <w:p w14:paraId="27B8CA81" w14:textId="773D7AE5" w:rsidR="00A84835" w:rsidRPr="00A84835" w:rsidRDefault="00A84835" w:rsidP="00A84835">
      <w:pPr>
        <w:pStyle w:val="Heading3"/>
        <w:rPr>
          <w:rStyle w:val="Emphasis"/>
          <w:i w:val="0"/>
          <w:iCs w:val="0"/>
        </w:rPr>
      </w:pPr>
      <w:bookmarkStart w:id="86" w:name="_Toc133076251"/>
      <w:r w:rsidRPr="00A84835">
        <w:rPr>
          <w:rStyle w:val="Emphasis"/>
          <w:i w:val="0"/>
          <w:iCs w:val="0"/>
        </w:rPr>
        <w:lastRenderedPageBreak/>
        <w:t>Reasonable accommodations</w:t>
      </w:r>
      <w:bookmarkEnd w:id="86"/>
    </w:p>
    <w:p w14:paraId="17A0BB25" w14:textId="3D9B1251" w:rsidR="009E2D7E" w:rsidRPr="00296210" w:rsidRDefault="00810537" w:rsidP="00DB6A6F">
      <w:pPr>
        <w:rPr>
          <w:color w:val="auto"/>
        </w:rPr>
      </w:pPr>
      <w:r>
        <w:rPr>
          <w:rStyle w:val="Emphasis"/>
          <w:i w:val="0"/>
          <w:iCs w:val="0"/>
          <w:color w:val="auto"/>
        </w:rPr>
        <w:t>Rea</w:t>
      </w:r>
      <w:r w:rsidRPr="00E31904">
        <w:rPr>
          <w:rStyle w:val="Emphasis"/>
          <w:i w:val="0"/>
          <w:iCs w:val="0"/>
          <w:color w:val="auto"/>
        </w:rPr>
        <w:t xml:space="preserve">sonable accommodations </w:t>
      </w:r>
      <w:r>
        <w:rPr>
          <w:rStyle w:val="Emphasis"/>
          <w:i w:val="0"/>
          <w:iCs w:val="0"/>
          <w:color w:val="auto"/>
        </w:rPr>
        <w:t xml:space="preserve">are something that are </w:t>
      </w:r>
      <w:r w:rsidR="00B12FF3">
        <w:rPr>
          <w:rStyle w:val="Emphasis"/>
          <w:i w:val="0"/>
          <w:iCs w:val="0"/>
          <w:color w:val="auto"/>
        </w:rPr>
        <w:t xml:space="preserve">generally </w:t>
      </w:r>
      <w:r>
        <w:rPr>
          <w:rStyle w:val="Emphasis"/>
          <w:i w:val="0"/>
          <w:iCs w:val="0"/>
          <w:color w:val="auto"/>
        </w:rPr>
        <w:t>expected to be covered by employers</w:t>
      </w:r>
      <w:r w:rsidR="00296210">
        <w:rPr>
          <w:rStyle w:val="Emphasis"/>
          <w:i w:val="0"/>
          <w:iCs w:val="0"/>
          <w:color w:val="auto"/>
        </w:rPr>
        <w:t>.</w:t>
      </w:r>
      <w:r>
        <w:rPr>
          <w:rStyle w:val="Emphasis"/>
          <w:i w:val="0"/>
          <w:iCs w:val="0"/>
          <w:color w:val="auto"/>
        </w:rPr>
        <w:t xml:space="preserve"> </w:t>
      </w:r>
      <w:r w:rsidR="009E2D7E">
        <w:rPr>
          <w:rStyle w:val="Emphasis"/>
          <w:i w:val="0"/>
          <w:iCs w:val="0"/>
          <w:color w:val="auto"/>
        </w:rPr>
        <w:t xml:space="preserve">The term </w:t>
      </w:r>
      <w:r w:rsidR="00C12836">
        <w:rPr>
          <w:rStyle w:val="Emphasis"/>
          <w:i w:val="0"/>
          <w:iCs w:val="0"/>
          <w:color w:val="auto"/>
        </w:rPr>
        <w:t>‘</w:t>
      </w:r>
      <w:r w:rsidR="009E2D7E">
        <w:rPr>
          <w:rStyle w:val="Emphasis"/>
          <w:i w:val="0"/>
          <w:iCs w:val="0"/>
          <w:color w:val="auto"/>
        </w:rPr>
        <w:t>reasonable</w:t>
      </w:r>
      <w:r w:rsidR="00C12836">
        <w:rPr>
          <w:rStyle w:val="Emphasis"/>
          <w:i w:val="0"/>
          <w:iCs w:val="0"/>
          <w:color w:val="auto"/>
        </w:rPr>
        <w:t>’</w:t>
      </w:r>
      <w:r w:rsidR="009E2D7E">
        <w:rPr>
          <w:rStyle w:val="Emphasis"/>
          <w:i w:val="0"/>
          <w:iCs w:val="0"/>
          <w:color w:val="auto"/>
        </w:rPr>
        <w:t xml:space="preserve"> is open to interpretation and can </w:t>
      </w:r>
      <w:r w:rsidR="00C12836">
        <w:rPr>
          <w:rStyle w:val="Emphasis"/>
          <w:i w:val="0"/>
          <w:iCs w:val="0"/>
          <w:color w:val="auto"/>
        </w:rPr>
        <w:t>result</w:t>
      </w:r>
      <w:r w:rsidR="009E2D7E">
        <w:rPr>
          <w:rStyle w:val="Emphasis"/>
          <w:i w:val="0"/>
          <w:iCs w:val="0"/>
          <w:color w:val="auto"/>
        </w:rPr>
        <w:t xml:space="preserve"> </w:t>
      </w:r>
      <w:r w:rsidR="00D95F6D">
        <w:rPr>
          <w:rStyle w:val="Emphasis"/>
          <w:i w:val="0"/>
          <w:iCs w:val="0"/>
          <w:color w:val="auto"/>
        </w:rPr>
        <w:t>in</w:t>
      </w:r>
      <w:r w:rsidR="009E2D7E">
        <w:rPr>
          <w:rStyle w:val="Emphasis"/>
          <w:i w:val="0"/>
          <w:iCs w:val="0"/>
          <w:color w:val="auto"/>
        </w:rPr>
        <w:t xml:space="preserve"> decisions </w:t>
      </w:r>
      <w:r w:rsidR="00C12836">
        <w:rPr>
          <w:rStyle w:val="Emphasis"/>
          <w:i w:val="0"/>
          <w:iCs w:val="0"/>
          <w:color w:val="auto"/>
        </w:rPr>
        <w:t>leading to</w:t>
      </w:r>
      <w:r w:rsidR="009E2D7E">
        <w:rPr>
          <w:rStyle w:val="Emphasis"/>
          <w:i w:val="0"/>
          <w:iCs w:val="0"/>
          <w:color w:val="auto"/>
        </w:rPr>
        <w:t xml:space="preserve"> disabled people not receiving funds. </w:t>
      </w:r>
      <w:r>
        <w:rPr>
          <w:rStyle w:val="Emphasis"/>
          <w:i w:val="0"/>
          <w:iCs w:val="0"/>
          <w:color w:val="auto"/>
        </w:rPr>
        <w:t>Many disabled people we spoke to</w:t>
      </w:r>
      <w:r w:rsidR="00296210">
        <w:rPr>
          <w:rStyle w:val="Emphasis"/>
          <w:i w:val="0"/>
          <w:iCs w:val="0"/>
          <w:color w:val="auto"/>
        </w:rPr>
        <w:t xml:space="preserve"> questioned what the term meant and</w:t>
      </w:r>
      <w:r>
        <w:rPr>
          <w:rStyle w:val="Emphasis"/>
          <w:i w:val="0"/>
          <w:iCs w:val="0"/>
          <w:color w:val="auto"/>
        </w:rPr>
        <w:t xml:space="preserve"> felt that the flexible interpretation of </w:t>
      </w:r>
      <w:r w:rsidR="00296210">
        <w:rPr>
          <w:rStyle w:val="Emphasis"/>
          <w:i w:val="0"/>
          <w:iCs w:val="0"/>
          <w:color w:val="auto"/>
        </w:rPr>
        <w:t xml:space="preserve">‘reasonable’ </w:t>
      </w:r>
      <w:r>
        <w:rPr>
          <w:rStyle w:val="Emphasis"/>
          <w:i w:val="0"/>
          <w:iCs w:val="0"/>
          <w:color w:val="auto"/>
        </w:rPr>
        <w:t>was used as an excuse</w:t>
      </w:r>
      <w:r w:rsidR="0029450E">
        <w:rPr>
          <w:rStyle w:val="Emphasis"/>
          <w:i w:val="0"/>
          <w:iCs w:val="0"/>
          <w:color w:val="auto"/>
        </w:rPr>
        <w:t>,</w:t>
      </w:r>
      <w:r>
        <w:rPr>
          <w:rStyle w:val="Emphasis"/>
          <w:i w:val="0"/>
          <w:iCs w:val="0"/>
          <w:color w:val="auto"/>
        </w:rPr>
        <w:t xml:space="preserve"> </w:t>
      </w:r>
      <w:r w:rsidR="008F42DA">
        <w:rPr>
          <w:rStyle w:val="Emphasis"/>
          <w:i w:val="0"/>
          <w:iCs w:val="0"/>
          <w:color w:val="auto"/>
        </w:rPr>
        <w:t xml:space="preserve">by both </w:t>
      </w:r>
      <w:r w:rsidR="0029450E">
        <w:rPr>
          <w:rStyle w:val="Emphasis"/>
          <w:i w:val="0"/>
          <w:iCs w:val="0"/>
          <w:color w:val="auto"/>
        </w:rPr>
        <w:t xml:space="preserve">Support </w:t>
      </w:r>
      <w:r w:rsidR="008F42DA">
        <w:rPr>
          <w:rStyle w:val="Emphasis"/>
          <w:i w:val="0"/>
          <w:iCs w:val="0"/>
          <w:color w:val="auto"/>
        </w:rPr>
        <w:t>Funds and employers</w:t>
      </w:r>
      <w:r w:rsidR="0029450E">
        <w:rPr>
          <w:rStyle w:val="Emphasis"/>
          <w:i w:val="0"/>
          <w:iCs w:val="0"/>
          <w:color w:val="auto"/>
        </w:rPr>
        <w:t>,</w:t>
      </w:r>
      <w:r>
        <w:rPr>
          <w:rStyle w:val="Emphasis"/>
          <w:i w:val="0"/>
          <w:iCs w:val="0"/>
          <w:color w:val="auto"/>
        </w:rPr>
        <w:t xml:space="preserve"> for not funding much</w:t>
      </w:r>
      <w:r w:rsidR="00D95F6D">
        <w:rPr>
          <w:rStyle w:val="Emphasis"/>
          <w:i w:val="0"/>
          <w:iCs w:val="0"/>
          <w:color w:val="auto"/>
        </w:rPr>
        <w:t>-</w:t>
      </w:r>
      <w:r>
        <w:rPr>
          <w:rStyle w:val="Emphasis"/>
          <w:i w:val="0"/>
          <w:iCs w:val="0"/>
          <w:color w:val="auto"/>
        </w:rPr>
        <w:t>needed support.</w:t>
      </w:r>
      <w:r w:rsidR="00296210">
        <w:rPr>
          <w:rStyle w:val="Emphasis"/>
          <w:i w:val="0"/>
          <w:iCs w:val="0"/>
          <w:color w:val="auto"/>
        </w:rPr>
        <w:t xml:space="preserve"> </w:t>
      </w:r>
      <w:r w:rsidR="00E12939">
        <w:rPr>
          <w:rStyle w:val="Emphasis"/>
          <w:i w:val="0"/>
          <w:iCs w:val="0"/>
          <w:color w:val="auto"/>
        </w:rPr>
        <w:t xml:space="preserve">Funding for </w:t>
      </w:r>
      <w:r w:rsidR="00DB6A6F">
        <w:t>workspace health and safety meetings</w:t>
      </w:r>
      <w:r w:rsidR="00E12939">
        <w:t xml:space="preserve"> is available</w:t>
      </w:r>
      <w:r w:rsidR="00E12939" w:rsidRPr="00E12939">
        <w:t xml:space="preserve"> </w:t>
      </w:r>
      <w:r w:rsidR="00E12939">
        <w:t>through Job Support</w:t>
      </w:r>
      <w:r w:rsidR="00DB6A6F">
        <w:t xml:space="preserve">, except </w:t>
      </w:r>
      <w:r w:rsidR="00296210">
        <w:t xml:space="preserve">in cases </w:t>
      </w:r>
      <w:r w:rsidR="00DB6A6F">
        <w:t>where the employer has</w:t>
      </w:r>
      <w:r w:rsidR="00D95F6D">
        <w:t xml:space="preserve"> a </w:t>
      </w:r>
      <w:r w:rsidR="00DB6A6F">
        <w:t>legal responsibility to provide th</w:t>
      </w:r>
      <w:r w:rsidR="00E12939">
        <w:t>at</w:t>
      </w:r>
      <w:r w:rsidR="00DB6A6F">
        <w:t xml:space="preserve"> support or when the employer should </w:t>
      </w:r>
      <w:r w:rsidR="00E12939">
        <w:t xml:space="preserve">be </w:t>
      </w:r>
      <w:r w:rsidR="00DB6A6F">
        <w:t>provid</w:t>
      </w:r>
      <w:r w:rsidR="00E12939">
        <w:t>ing it</w:t>
      </w:r>
      <w:r w:rsidR="00DB6A6F">
        <w:t xml:space="preserve"> as a reasonable accommodation.</w:t>
      </w:r>
      <w:r w:rsidR="00F163EB">
        <w:rPr>
          <w:rStyle w:val="EndnoteReference"/>
        </w:rPr>
        <w:endnoteReference w:id="29"/>
      </w:r>
      <w:r w:rsidR="00DB6A6F">
        <w:t xml:space="preserve"> However, without a</w:t>
      </w:r>
      <w:r w:rsidR="001A1F14">
        <w:t>n agreed definition, this responsibility continue</w:t>
      </w:r>
      <w:r w:rsidR="00296210">
        <w:t>s</w:t>
      </w:r>
      <w:r w:rsidR="001A1F14">
        <w:t xml:space="preserve"> to be up for debate.</w:t>
      </w:r>
    </w:p>
    <w:p w14:paraId="4F84B8CF" w14:textId="0EFF5C82" w:rsidR="00110BA6" w:rsidRPr="001176A2" w:rsidRDefault="00110BA6" w:rsidP="00110BA6">
      <w:r>
        <w:t xml:space="preserve">For some </w:t>
      </w:r>
      <w:r w:rsidR="00296210">
        <w:t>d/</w:t>
      </w:r>
      <w:r>
        <w:t xml:space="preserve">Deaf people we spoke to, </w:t>
      </w:r>
      <w:r w:rsidR="00296210">
        <w:t>challenges in</w:t>
      </w:r>
      <w:r>
        <w:t xml:space="preserve"> access</w:t>
      </w:r>
      <w:r w:rsidR="00296210">
        <w:t>ing</w:t>
      </w:r>
      <w:r>
        <w:t xml:space="preserve"> interpreters for end-of-year staff events meant they often missed out on important team-building social interactions, further excluding them from the workplace</w:t>
      </w:r>
      <w:r w:rsidR="004179C2">
        <w:t xml:space="preserve"> and</w:t>
      </w:r>
      <w:r>
        <w:t xml:space="preserve"> resulting in reduced well</w:t>
      </w:r>
      <w:r w:rsidR="00D95F6D">
        <w:t>-</w:t>
      </w:r>
      <w:r>
        <w:t>being outcomes.</w:t>
      </w:r>
      <w:r w:rsidR="004179C2">
        <w:t xml:space="preserve"> This was often</w:t>
      </w:r>
      <w:r w:rsidR="00DC0351">
        <w:t xml:space="preserve"> due to </w:t>
      </w:r>
      <w:r w:rsidR="00E27946">
        <w:t xml:space="preserve">the cost not being seen as ‘reasonable’ by either Support Funds or the </w:t>
      </w:r>
      <w:r w:rsidR="000476D2">
        <w:t>employer</w:t>
      </w:r>
      <w:r w:rsidR="00E27946">
        <w:t>.</w:t>
      </w:r>
      <w:r w:rsidR="000476D2">
        <w:t xml:space="preserve"> This can also be</w:t>
      </w:r>
      <w:r w:rsidR="004179C2">
        <w:t xml:space="preserve"> the case </w:t>
      </w:r>
      <w:r w:rsidR="006311C7">
        <w:t xml:space="preserve">for Staff Christmas events and </w:t>
      </w:r>
      <w:r w:rsidR="008850C6">
        <w:t xml:space="preserve">other </w:t>
      </w:r>
      <w:r w:rsidR="00D95CB8">
        <w:t>social events</w:t>
      </w:r>
      <w:r w:rsidR="000476D2">
        <w:t xml:space="preserve">, </w:t>
      </w:r>
      <w:r w:rsidR="00D95CB8">
        <w:t>where</w:t>
      </w:r>
      <w:r w:rsidR="000476D2">
        <w:t xml:space="preserve"> disabled employees miss out on</w:t>
      </w:r>
      <w:r w:rsidR="00D95CB8">
        <w:t xml:space="preserve"> </w:t>
      </w:r>
      <w:r w:rsidR="00727452">
        <w:t xml:space="preserve">important networking and team building </w:t>
      </w:r>
      <w:r w:rsidR="000476D2">
        <w:t>that takes</w:t>
      </w:r>
      <w:r w:rsidR="00727452">
        <w:t xml:space="preserve"> place.</w:t>
      </w:r>
    </w:p>
    <w:p w14:paraId="557CA0F8" w14:textId="155B3DEF" w:rsidR="0026683C" w:rsidRDefault="0026683C" w:rsidP="0026683C">
      <w:pPr>
        <w:pStyle w:val="Heading2"/>
      </w:pPr>
      <w:bookmarkStart w:id="87" w:name="_Toc133076252"/>
      <w:r>
        <w:t xml:space="preserve">Support Funds </w:t>
      </w:r>
      <w:r w:rsidR="000D1F3E">
        <w:t>can be</w:t>
      </w:r>
      <w:r>
        <w:t xml:space="preserve"> difficult to maintain</w:t>
      </w:r>
      <w:bookmarkEnd w:id="87"/>
    </w:p>
    <w:p w14:paraId="31EE7647" w14:textId="2F18F945" w:rsidR="00F9291C" w:rsidRPr="00891469" w:rsidRDefault="00F9291C" w:rsidP="00F9291C">
      <w:pPr>
        <w:rPr>
          <w:lang w:val="en-US" w:eastAsia="en-NZ"/>
        </w:rPr>
      </w:pPr>
      <w:r>
        <w:rPr>
          <w:lang w:val="en-US" w:eastAsia="en-NZ"/>
        </w:rPr>
        <w:t xml:space="preserve">Additional barriers </w:t>
      </w:r>
      <w:r w:rsidR="00296317">
        <w:rPr>
          <w:lang w:val="en-US" w:eastAsia="en-NZ"/>
        </w:rPr>
        <w:t xml:space="preserve">can </w:t>
      </w:r>
      <w:r>
        <w:rPr>
          <w:lang w:val="en-US" w:eastAsia="en-NZ"/>
        </w:rPr>
        <w:t xml:space="preserve">exist for those who </w:t>
      </w:r>
      <w:r w:rsidR="00296317">
        <w:rPr>
          <w:lang w:val="en-US" w:eastAsia="en-NZ"/>
        </w:rPr>
        <w:t xml:space="preserve">have </w:t>
      </w:r>
      <w:r>
        <w:rPr>
          <w:lang w:val="en-US" w:eastAsia="en-NZ"/>
        </w:rPr>
        <w:t xml:space="preserve">already had applications approved. For example, having a choice over how to use the funds, and the time and effort it takes to follow up funding renewals. Some people </w:t>
      </w:r>
      <w:r w:rsidR="00080C82">
        <w:rPr>
          <w:lang w:val="en-US" w:eastAsia="en-NZ"/>
        </w:rPr>
        <w:t xml:space="preserve">found the </w:t>
      </w:r>
      <w:r w:rsidR="00E87D9A">
        <w:rPr>
          <w:lang w:val="en-US" w:eastAsia="en-NZ"/>
        </w:rPr>
        <w:t>funds</w:t>
      </w:r>
      <w:r w:rsidR="00080C82">
        <w:rPr>
          <w:lang w:val="en-US" w:eastAsia="en-NZ"/>
        </w:rPr>
        <w:t xml:space="preserve"> to</w:t>
      </w:r>
      <w:r w:rsidR="00213216">
        <w:rPr>
          <w:lang w:val="en-US" w:eastAsia="en-NZ"/>
        </w:rPr>
        <w:t>o</w:t>
      </w:r>
      <w:r w:rsidR="00080C82">
        <w:rPr>
          <w:lang w:val="en-US" w:eastAsia="en-NZ"/>
        </w:rPr>
        <w:t xml:space="preserve"> difficult to maintain, resulting in no longer </w:t>
      </w:r>
      <w:r w:rsidR="00296317">
        <w:rPr>
          <w:lang w:val="en-US" w:eastAsia="en-NZ"/>
        </w:rPr>
        <w:t xml:space="preserve">being able to </w:t>
      </w:r>
      <w:r w:rsidR="00080C82">
        <w:rPr>
          <w:lang w:val="en-US" w:eastAsia="en-NZ"/>
        </w:rPr>
        <w:t>access the support they need to work.</w:t>
      </w:r>
      <w:r w:rsidR="00891469">
        <w:rPr>
          <w:lang w:val="en-US" w:eastAsia="en-NZ"/>
        </w:rPr>
        <w:t xml:space="preserve"> </w:t>
      </w:r>
      <w:r w:rsidR="00296210">
        <w:t>Others</w:t>
      </w:r>
      <w:r>
        <w:t xml:space="preserve"> spoke about </w:t>
      </w:r>
      <w:r w:rsidR="00296210">
        <w:t>struggling</w:t>
      </w:r>
      <w:r w:rsidRPr="006458F3">
        <w:t xml:space="preserve"> to get basic employment support </w:t>
      </w:r>
      <w:r>
        <w:t>that they had</w:t>
      </w:r>
      <w:r w:rsidRPr="006458F3">
        <w:t xml:space="preserve"> been approved for</w:t>
      </w:r>
      <w:r>
        <w:t xml:space="preserve">, which </w:t>
      </w:r>
      <w:r w:rsidR="00296210">
        <w:t>left them</w:t>
      </w:r>
      <w:r w:rsidR="00296317">
        <w:t xml:space="preserve"> feeling</w:t>
      </w:r>
      <w:r w:rsidR="00296210">
        <w:t xml:space="preserve"> </w:t>
      </w:r>
      <w:r w:rsidRPr="006458F3">
        <w:t>frustrat</w:t>
      </w:r>
      <w:r w:rsidR="00296210">
        <w:t>ed</w:t>
      </w:r>
      <w:r w:rsidRPr="006458F3">
        <w:t xml:space="preserve"> and </w:t>
      </w:r>
      <w:r w:rsidR="00296210">
        <w:t>upset.</w:t>
      </w:r>
    </w:p>
    <w:p w14:paraId="4C12D07A" w14:textId="3D77A47F" w:rsidR="00D82E21" w:rsidRDefault="00D82E21" w:rsidP="00D82E21">
      <w:pPr>
        <w:pStyle w:val="Heading3"/>
      </w:pPr>
      <w:bookmarkStart w:id="88" w:name="_Toc133076253"/>
      <w:r w:rsidRPr="00172243">
        <w:t>Renewing</w:t>
      </w:r>
      <w:r>
        <w:t xml:space="preserve"> funds</w:t>
      </w:r>
      <w:bookmarkEnd w:id="88"/>
    </w:p>
    <w:p w14:paraId="43235B90" w14:textId="211B89D4" w:rsidR="00D82E21" w:rsidRDefault="00D82E21" w:rsidP="00D82E21">
      <w:r>
        <w:t xml:space="preserve">For those who are able to access Support Funds, the process of reapplying is a difficult and time-consuming process. Disabled people who have life-long impairments expressed frustration at having to continually </w:t>
      </w:r>
      <w:r w:rsidR="0029486B">
        <w:t>renew applications and approval even though their situation remains unchanged.</w:t>
      </w:r>
      <w:r w:rsidR="004E43B9">
        <w:t xml:space="preserve"> This was the case for an </w:t>
      </w:r>
      <w:r w:rsidR="004E43B9">
        <w:lastRenderedPageBreak/>
        <w:t xml:space="preserve">amputee who spoke of having to continually </w:t>
      </w:r>
      <w:r w:rsidR="00DF5006">
        <w:t>demonstrate they were still disabled.</w:t>
      </w:r>
      <w:r w:rsidR="00D4678A">
        <w:t xml:space="preserve"> </w:t>
      </w:r>
      <w:r w:rsidR="00DF5006">
        <w:t>However, e</w:t>
      </w:r>
      <w:r>
        <w:t xml:space="preserve">xperiences of renewing support </w:t>
      </w:r>
      <w:r w:rsidR="00DF5006">
        <w:t xml:space="preserve">for Blind people we spoke to </w:t>
      </w:r>
      <w:r>
        <w:t xml:space="preserve">differed. While some spoke of having to continually prove they are </w:t>
      </w:r>
      <w:r w:rsidR="00296210">
        <w:t>B</w:t>
      </w:r>
      <w:r>
        <w:t xml:space="preserve">lind, others </w:t>
      </w:r>
      <w:r w:rsidR="0020598E">
        <w:t xml:space="preserve">who were </w:t>
      </w:r>
      <w:r w:rsidR="0020598E" w:rsidRPr="0020598E">
        <w:t>supported by Blind Low Vision</w:t>
      </w:r>
      <w:r w:rsidR="0020598E">
        <w:t xml:space="preserve"> NZ</w:t>
      </w:r>
      <w:r w:rsidR="0020598E" w:rsidRPr="0020598E">
        <w:t xml:space="preserve"> in this process </w:t>
      </w:r>
      <w:r w:rsidR="00B0533A">
        <w:t>recounted</w:t>
      </w:r>
      <w:r>
        <w:t xml:space="preserve"> not </w:t>
      </w:r>
      <w:r w:rsidR="00B0533A">
        <w:t xml:space="preserve">having to do so very </w:t>
      </w:r>
      <w:r>
        <w:t>frequently.</w:t>
      </w:r>
      <w:r w:rsidR="00296210">
        <w:t xml:space="preserve"> </w:t>
      </w:r>
      <w:r>
        <w:t>Some disabled people also shared that they were required to re-apply for funding every time their circumstances changed, e.g. moving house, which was seen as added administration in an already laborious process.</w:t>
      </w:r>
    </w:p>
    <w:p w14:paraId="68371EEC" w14:textId="750C29EC" w:rsidR="00D82E21" w:rsidRDefault="00826489" w:rsidP="00D82E21">
      <w:pPr>
        <w:pStyle w:val="Heading3"/>
      </w:pPr>
      <w:bookmarkStart w:id="89" w:name="_Toc106198818"/>
      <w:bookmarkStart w:id="90" w:name="_Toc106351812"/>
      <w:bookmarkStart w:id="91" w:name="_Toc106353145"/>
      <w:bookmarkStart w:id="92" w:name="_Toc106381571"/>
      <w:bookmarkStart w:id="93" w:name="_Toc106639976"/>
      <w:bookmarkStart w:id="94" w:name="_Toc107500751"/>
      <w:bookmarkStart w:id="95" w:name="_Toc107502746"/>
      <w:bookmarkStart w:id="96" w:name="_Toc108022121"/>
      <w:bookmarkStart w:id="97" w:name="_Toc133076254"/>
      <w:r>
        <w:t>A</w:t>
      </w:r>
      <w:r w:rsidR="00D82E21">
        <w:t xml:space="preserve"> drop </w:t>
      </w:r>
      <w:r w:rsidR="00D82E21" w:rsidRPr="00172243">
        <w:t>in</w:t>
      </w:r>
      <w:r w:rsidR="00D82E21">
        <w:t xml:space="preserve"> applications</w:t>
      </w:r>
      <w:bookmarkEnd w:id="89"/>
      <w:bookmarkEnd w:id="90"/>
      <w:bookmarkEnd w:id="91"/>
      <w:bookmarkEnd w:id="92"/>
      <w:bookmarkEnd w:id="93"/>
      <w:bookmarkEnd w:id="94"/>
      <w:bookmarkEnd w:id="95"/>
      <w:bookmarkEnd w:id="96"/>
      <w:bookmarkEnd w:id="97"/>
    </w:p>
    <w:p w14:paraId="2C992C76" w14:textId="23EE1E9E" w:rsidR="00263321" w:rsidRPr="00263321" w:rsidRDefault="00D4678A" w:rsidP="00263321">
      <w:pPr>
        <w:rPr>
          <w:lang w:val="en-US"/>
        </w:rPr>
      </w:pPr>
      <w:r>
        <w:t>The drop in applications for Support Funds seen over the past ten years</w:t>
      </w:r>
      <w:r w:rsidR="00403370">
        <w:t xml:space="preserve"> (see Appendix B and C)</w:t>
      </w:r>
      <w:r>
        <w:t xml:space="preserve"> could</w:t>
      </w:r>
      <w:r w:rsidR="00403370">
        <w:t xml:space="preserve"> partly</w:t>
      </w:r>
      <w:r>
        <w:t xml:space="preserve"> be explained by the fact that software and technology </w:t>
      </w:r>
      <w:r w:rsidR="00D95F6D">
        <w:t>are</w:t>
      </w:r>
      <w:r>
        <w:t xml:space="preserve"> now more likely to incorporate accessibility functions, reducing the need for Blind and low vision people to require as much access to </w:t>
      </w:r>
      <w:r w:rsidR="00F62476">
        <w:t>S</w:t>
      </w:r>
      <w:r>
        <w:t xml:space="preserve">upport </w:t>
      </w:r>
      <w:r w:rsidR="00F62476">
        <w:t>F</w:t>
      </w:r>
      <w:r>
        <w:t xml:space="preserve">unds for adaptive technology. Likewise, availability of NZ Relay service could </w:t>
      </w:r>
      <w:r w:rsidR="00403370">
        <w:t xml:space="preserve">be </w:t>
      </w:r>
      <w:r>
        <w:t>contribut</w:t>
      </w:r>
      <w:r w:rsidR="00403370">
        <w:t>ing</w:t>
      </w:r>
      <w:r>
        <w:t xml:space="preserve"> to a reduction in applications for interpreter support.</w:t>
      </w:r>
      <w:r w:rsidR="00403370">
        <w:t xml:space="preserve"> However, many disabled people described giving up on reapplying because of the stressful and inaccessible application process</w:t>
      </w:r>
      <w:r w:rsidR="00263321">
        <w:t xml:space="preserve">, suggesting that the drop we see in applications over the past ten years </w:t>
      </w:r>
      <w:r w:rsidR="00296210">
        <w:t xml:space="preserve">is likely to also be </w:t>
      </w:r>
      <w:r w:rsidR="00263321">
        <w:t>representative of inaccessible systems and processes rather than a lack of need.</w:t>
      </w:r>
    </w:p>
    <w:p w14:paraId="69EB7B58" w14:textId="48705F97" w:rsidR="00263321" w:rsidRPr="0025625B" w:rsidRDefault="001E2591" w:rsidP="00D82E21">
      <w:r>
        <w:t>In fact,</w:t>
      </w:r>
      <w:r w:rsidR="00B65AD1">
        <w:t xml:space="preserve"> t</w:t>
      </w:r>
      <w:r w:rsidR="00263321">
        <w:t xml:space="preserve">he process was described by one person as so </w:t>
      </w:r>
      <w:r w:rsidR="00296210">
        <w:t>“</w:t>
      </w:r>
      <w:r w:rsidR="00263321">
        <w:t xml:space="preserve">daunting” that they couldn’t progress with the application and others talked about </w:t>
      </w:r>
      <w:r w:rsidR="00CC0C77">
        <w:t xml:space="preserve">desperately </w:t>
      </w:r>
      <w:r w:rsidR="00263321">
        <w:t xml:space="preserve">needing the support but not being able to handle the stress of </w:t>
      </w:r>
      <w:r w:rsidR="00CC0C77">
        <w:t>seeking</w:t>
      </w:r>
      <w:r w:rsidR="00263321">
        <w:t xml:space="preserve"> that support</w:t>
      </w:r>
      <w:r w:rsidR="00CC0C77">
        <w:t xml:space="preserve"> formally through Support Funds.</w:t>
      </w:r>
      <w:r w:rsidR="00BE3A21">
        <w:t xml:space="preserve"> </w:t>
      </w:r>
      <w:r w:rsidR="001B7E13">
        <w:rPr>
          <w:lang w:val="en-US"/>
        </w:rPr>
        <w:t>Members felt that i</w:t>
      </w:r>
      <w:r w:rsidR="00287D07">
        <w:rPr>
          <w:lang w:val="en-US"/>
        </w:rPr>
        <w:t>ncreas</w:t>
      </w:r>
      <w:r w:rsidR="001B7E13">
        <w:rPr>
          <w:lang w:val="en-US"/>
        </w:rPr>
        <w:t>ing</w:t>
      </w:r>
      <w:r w:rsidR="00641EC0">
        <w:rPr>
          <w:lang w:val="en-US"/>
        </w:rPr>
        <w:t xml:space="preserve"> the</w:t>
      </w:r>
      <w:r w:rsidR="00287D07">
        <w:rPr>
          <w:lang w:val="en-US"/>
        </w:rPr>
        <w:t xml:space="preserve"> funding </w:t>
      </w:r>
      <w:r w:rsidR="00641EC0">
        <w:rPr>
          <w:lang w:val="en-US"/>
        </w:rPr>
        <w:t>budget</w:t>
      </w:r>
      <w:r w:rsidR="0025625B">
        <w:rPr>
          <w:lang w:val="en-US"/>
        </w:rPr>
        <w:t xml:space="preserve">, widening eligibility criteria, </w:t>
      </w:r>
      <w:r w:rsidR="00641EC0">
        <w:rPr>
          <w:lang w:val="en-US"/>
        </w:rPr>
        <w:t xml:space="preserve">and working more closely with disabled people </w:t>
      </w:r>
      <w:r w:rsidR="004D5A23">
        <w:rPr>
          <w:lang w:val="en-US"/>
        </w:rPr>
        <w:t>o</w:t>
      </w:r>
      <w:r w:rsidR="00641EC0">
        <w:rPr>
          <w:lang w:val="en-US"/>
        </w:rPr>
        <w:t xml:space="preserve">n “fixing the </w:t>
      </w:r>
      <w:r w:rsidR="0056262B">
        <w:rPr>
          <w:lang w:val="en-US"/>
        </w:rPr>
        <w:t>issues” w</w:t>
      </w:r>
      <w:r w:rsidR="00287D07">
        <w:rPr>
          <w:lang w:val="en-US"/>
        </w:rPr>
        <w:t xml:space="preserve">ould </w:t>
      </w:r>
      <w:r w:rsidR="001B7E13">
        <w:rPr>
          <w:lang w:val="en-US"/>
        </w:rPr>
        <w:t xml:space="preserve">work towards removing </w:t>
      </w:r>
      <w:r w:rsidR="00C73CD4">
        <w:rPr>
          <w:lang w:val="en-US"/>
        </w:rPr>
        <w:t xml:space="preserve">barriers in accessing the fund </w:t>
      </w:r>
      <w:r w:rsidR="00287D07">
        <w:rPr>
          <w:lang w:val="en-US"/>
        </w:rPr>
        <w:t>and make it more likely that people would</w:t>
      </w:r>
      <w:r w:rsidR="00C73CD4">
        <w:rPr>
          <w:lang w:val="en-US"/>
        </w:rPr>
        <w:t xml:space="preserve"> seek </w:t>
      </w:r>
      <w:r w:rsidR="00287D07">
        <w:rPr>
          <w:lang w:val="en-US"/>
        </w:rPr>
        <w:t>employment</w:t>
      </w:r>
      <w:r w:rsidR="00C73CD4">
        <w:rPr>
          <w:lang w:val="en-US"/>
        </w:rPr>
        <w:t xml:space="preserve">, thus improving employment outcomes </w:t>
      </w:r>
      <w:r w:rsidR="0025625B">
        <w:rPr>
          <w:lang w:val="en-US"/>
        </w:rPr>
        <w:t>overall.</w:t>
      </w:r>
    </w:p>
    <w:p w14:paraId="61A6DB6F" w14:textId="7ADF078E" w:rsidR="001E2BA7" w:rsidRPr="00C964BD" w:rsidRDefault="00CC5EE7" w:rsidP="001E2BA7">
      <w:pPr>
        <w:pStyle w:val="Heading3"/>
      </w:pPr>
      <w:bookmarkStart w:id="98" w:name="_Toc106351831"/>
      <w:bookmarkStart w:id="99" w:name="_Toc106353164"/>
      <w:bookmarkStart w:id="100" w:name="_Toc106381588"/>
      <w:bookmarkStart w:id="101" w:name="_Toc106639993"/>
      <w:bookmarkStart w:id="102" w:name="_Toc107500768"/>
      <w:bookmarkStart w:id="103" w:name="_Toc107502763"/>
      <w:bookmarkStart w:id="104" w:name="_Toc108022140"/>
      <w:bookmarkStart w:id="105" w:name="_Toc133076255"/>
      <w:r>
        <w:t>E</w:t>
      </w:r>
      <w:r w:rsidR="001E2BA7" w:rsidRPr="006458F3">
        <w:t xml:space="preserve">mploying </w:t>
      </w:r>
      <w:r w:rsidR="00471D48">
        <w:rPr>
          <w:rStyle w:val="Heading4Char"/>
          <w:iCs w:val="0"/>
          <w:sz w:val="32"/>
        </w:rPr>
        <w:t>s</w:t>
      </w:r>
      <w:r w:rsidR="001E2BA7" w:rsidRPr="006458F3">
        <w:rPr>
          <w:rStyle w:val="Heading4Char"/>
          <w:iCs w:val="0"/>
          <w:sz w:val="32"/>
        </w:rPr>
        <w:t>upport</w:t>
      </w:r>
      <w:r w:rsidR="001E2BA7" w:rsidRPr="006458F3">
        <w:t xml:space="preserve"> </w:t>
      </w:r>
      <w:r w:rsidR="00471D48">
        <w:t>p</w:t>
      </w:r>
      <w:r w:rsidR="001E2BA7" w:rsidRPr="006458F3">
        <w:t>eople</w:t>
      </w:r>
      <w:bookmarkEnd w:id="98"/>
      <w:bookmarkEnd w:id="99"/>
      <w:bookmarkEnd w:id="100"/>
      <w:bookmarkEnd w:id="101"/>
      <w:bookmarkEnd w:id="102"/>
      <w:bookmarkEnd w:id="103"/>
      <w:bookmarkEnd w:id="104"/>
      <w:bookmarkEnd w:id="105"/>
    </w:p>
    <w:p w14:paraId="593D10DB" w14:textId="3906AF4F" w:rsidR="001E2BA7" w:rsidRPr="00A85748" w:rsidRDefault="00931ABA" w:rsidP="001E2BA7">
      <w:r>
        <w:t xml:space="preserve">For disabled people who employ their own support staff, </w:t>
      </w:r>
      <w:r w:rsidR="009E50E5">
        <w:t>there are additional</w:t>
      </w:r>
      <w:r>
        <w:t xml:space="preserve"> challenges</w:t>
      </w:r>
      <w:r w:rsidR="00D3685E">
        <w:t xml:space="preserve"> in navigating the Support Funds process. For some, this was the most difficult aspect of the process due to strict rules around how much a support person can be paid, how many hours they can work, and the type of employment contract </w:t>
      </w:r>
      <w:r w:rsidR="00D3685E">
        <w:lastRenderedPageBreak/>
        <w:t>they can hold.</w:t>
      </w:r>
      <w:r w:rsidR="00A85748">
        <w:t xml:space="preserve"> </w:t>
      </w:r>
      <w:r w:rsidR="00774E0E">
        <w:t>Additionally</w:t>
      </w:r>
      <w:r w:rsidR="00574992">
        <w:t xml:space="preserve">, </w:t>
      </w:r>
      <w:r w:rsidR="00D95F6D">
        <w:t xml:space="preserve">the required </w:t>
      </w:r>
      <w:r w:rsidR="00574992">
        <w:t xml:space="preserve">administration is </w:t>
      </w:r>
      <w:r w:rsidR="000A0B78">
        <w:t>needlessly</w:t>
      </w:r>
      <w:r w:rsidR="00774E0E">
        <w:t xml:space="preserve"> time consuming.</w:t>
      </w:r>
      <w:r w:rsidR="00D3685E">
        <w:t xml:space="preserve"> </w:t>
      </w:r>
      <w:r w:rsidR="00C64BBF">
        <w:t xml:space="preserve">For example, many </w:t>
      </w:r>
      <w:r w:rsidR="004543B8">
        <w:t xml:space="preserve">people </w:t>
      </w:r>
      <w:r w:rsidR="0055054C">
        <w:t>expressed frustration at</w:t>
      </w:r>
      <w:r w:rsidR="004543B8">
        <w:t xml:space="preserve"> having to submit </w:t>
      </w:r>
      <w:r w:rsidR="00D92643">
        <w:t>a w</w:t>
      </w:r>
      <w:r w:rsidR="00C64BBF">
        <w:t>eekly time</w:t>
      </w:r>
      <w:r w:rsidR="00D92643">
        <w:t xml:space="preserve"> sheet</w:t>
      </w:r>
      <w:r w:rsidR="00C64BBF">
        <w:t xml:space="preserve"> </w:t>
      </w:r>
      <w:r w:rsidR="00C64BBF" w:rsidRPr="006458F3">
        <w:t>signed by</w:t>
      </w:r>
      <w:r w:rsidR="00D92643">
        <w:t xml:space="preserve"> the disabled person and support staff </w:t>
      </w:r>
      <w:r w:rsidR="00C64BBF">
        <w:t xml:space="preserve">before </w:t>
      </w:r>
      <w:r w:rsidR="00C64BBF" w:rsidRPr="006458F3">
        <w:t>funds</w:t>
      </w:r>
      <w:r w:rsidR="009F4D24">
        <w:t xml:space="preserve"> </w:t>
      </w:r>
      <w:r w:rsidR="0055054C">
        <w:t>could be</w:t>
      </w:r>
      <w:r w:rsidR="009F4D24">
        <w:t xml:space="preserve"> released.</w:t>
      </w:r>
    </w:p>
    <w:p w14:paraId="58C92E96" w14:textId="3872D21F" w:rsidR="007E4BAA" w:rsidRDefault="00774E0E" w:rsidP="007E4BAA">
      <w:r>
        <w:t>All of these restrictions make it especially difficult for disable</w:t>
      </w:r>
      <w:r w:rsidR="00D92643">
        <w:t>d</w:t>
      </w:r>
      <w:r>
        <w:t xml:space="preserve"> people to find and keep support staff. </w:t>
      </w:r>
      <w:r w:rsidR="00E4078D">
        <w:t>M</w:t>
      </w:r>
      <w:r>
        <w:t>ember</w:t>
      </w:r>
      <w:r w:rsidR="00E4078D">
        <w:t>s</w:t>
      </w:r>
      <w:r>
        <w:t xml:space="preserve"> talked about the </w:t>
      </w:r>
      <w:r w:rsidR="00C64BBF">
        <w:t xml:space="preserve">onerous task of </w:t>
      </w:r>
      <w:r w:rsidR="006B031E">
        <w:t xml:space="preserve">finding someone willing to </w:t>
      </w:r>
      <w:r w:rsidR="001E2BA7" w:rsidRPr="006458F3">
        <w:t>receiv</w:t>
      </w:r>
      <w:r w:rsidR="00C64BBF">
        <w:t>e</w:t>
      </w:r>
      <w:r w:rsidR="001E2BA7" w:rsidRPr="006458F3">
        <w:t xml:space="preserve"> a maximum of $325 per week to manage their own income tax, ACC, </w:t>
      </w:r>
      <w:r w:rsidR="00B46A37" w:rsidRPr="006458F3">
        <w:t>Kiwi</w:t>
      </w:r>
      <w:r w:rsidR="00B46A37">
        <w:t>S</w:t>
      </w:r>
      <w:r w:rsidR="00B46A37" w:rsidRPr="006458F3">
        <w:t>aver,</w:t>
      </w:r>
      <w:r w:rsidR="001E2BA7" w:rsidRPr="006458F3">
        <w:t xml:space="preserve"> and Student Loan obligations</w:t>
      </w:r>
      <w:r w:rsidR="00E4078D">
        <w:t xml:space="preserve">. One member illustrated their struggle </w:t>
      </w:r>
      <w:r w:rsidR="00550D39">
        <w:t xml:space="preserve">by pointing out that </w:t>
      </w:r>
      <w:r w:rsidR="0055054C">
        <w:t>not being able to pay</w:t>
      </w:r>
      <w:r w:rsidR="00AB755F">
        <w:t xml:space="preserve"> more than </w:t>
      </w:r>
      <w:r w:rsidR="00C61D2A">
        <w:t>minimum wage</w:t>
      </w:r>
      <w:r w:rsidR="00550D39" w:rsidRPr="006458F3">
        <w:t xml:space="preserve"> and </w:t>
      </w:r>
      <w:r w:rsidR="00AB755F">
        <w:t>no</w:t>
      </w:r>
      <w:r w:rsidR="0055054C">
        <w:t>t being able to offer</w:t>
      </w:r>
      <w:r w:rsidR="00AB755F">
        <w:t xml:space="preserve"> more than </w:t>
      </w:r>
      <w:r w:rsidR="00550D39" w:rsidRPr="006458F3">
        <w:t>20</w:t>
      </w:r>
      <w:r w:rsidR="00C61D2A">
        <w:t xml:space="preserve"> </w:t>
      </w:r>
      <w:r w:rsidR="00550D39" w:rsidRPr="006458F3">
        <w:t>h</w:t>
      </w:r>
      <w:r w:rsidR="00C61D2A">
        <w:t>ou</w:t>
      </w:r>
      <w:r w:rsidR="00550D39" w:rsidRPr="006458F3">
        <w:t>rs in any given week</w:t>
      </w:r>
      <w:r w:rsidR="00550D39">
        <w:t xml:space="preserve"> mean</w:t>
      </w:r>
      <w:r w:rsidR="0055054C">
        <w:t>t</w:t>
      </w:r>
      <w:r w:rsidR="00550D39">
        <w:t xml:space="preserve"> that they</w:t>
      </w:r>
      <w:r w:rsidR="00F03580">
        <w:t xml:space="preserve"> </w:t>
      </w:r>
      <w:r w:rsidR="00C530D0">
        <w:t>c</w:t>
      </w:r>
      <w:r w:rsidR="0055054C">
        <w:t>ouldn’t</w:t>
      </w:r>
      <w:r w:rsidR="00C530D0">
        <w:t xml:space="preserve"> offer</w:t>
      </w:r>
      <w:r w:rsidR="001E2BA7" w:rsidRPr="006458F3">
        <w:t xml:space="preserve"> anyone a contract or guarantee of income.</w:t>
      </w:r>
      <w:r w:rsidR="00AB755F">
        <w:t xml:space="preserve"> As a result, m</w:t>
      </w:r>
      <w:r w:rsidR="003E1FD2">
        <w:t>any people</w:t>
      </w:r>
      <w:r w:rsidR="00AB755F">
        <w:t xml:space="preserve"> were l</w:t>
      </w:r>
      <w:r w:rsidR="001E2BA7" w:rsidRPr="006458F3">
        <w:t xml:space="preserve">osing good </w:t>
      </w:r>
      <w:r w:rsidR="0055054C">
        <w:t xml:space="preserve">support </w:t>
      </w:r>
      <w:r w:rsidR="003E1FD2">
        <w:t>staff</w:t>
      </w:r>
      <w:r w:rsidR="001E2BA7" w:rsidRPr="006458F3">
        <w:t xml:space="preserve"> because they </w:t>
      </w:r>
      <w:r w:rsidR="00AB755F">
        <w:t xml:space="preserve">would </w:t>
      </w:r>
      <w:r w:rsidR="001E2BA7" w:rsidRPr="006458F3">
        <w:t xml:space="preserve">go somewhere </w:t>
      </w:r>
      <w:r w:rsidR="00AB755F">
        <w:t xml:space="preserve">else </w:t>
      </w:r>
      <w:r w:rsidR="001E2BA7" w:rsidRPr="006458F3">
        <w:t>that offered more sustainable employment.</w:t>
      </w:r>
      <w:bookmarkStart w:id="106" w:name="_Toc106198836"/>
      <w:r w:rsidR="0055054C" w:rsidRPr="0055054C">
        <w:t xml:space="preserve"> </w:t>
      </w:r>
      <w:r w:rsidR="0055054C">
        <w:t xml:space="preserve">There were also fears that </w:t>
      </w:r>
      <w:r w:rsidR="0055054C" w:rsidRPr="006458F3">
        <w:t xml:space="preserve">the complexity around leaving contractors to pay their own tax would lead some not making any such payments at all, which would expose them, </w:t>
      </w:r>
      <w:r w:rsidR="0055054C">
        <w:t>the disabled person</w:t>
      </w:r>
      <w:r w:rsidR="0055054C" w:rsidRPr="006458F3">
        <w:t xml:space="preserve">, and even </w:t>
      </w:r>
      <w:r w:rsidR="0055054C">
        <w:t xml:space="preserve">the Ministry </w:t>
      </w:r>
      <w:r w:rsidR="0055054C" w:rsidRPr="006458F3">
        <w:t>to significant risk.</w:t>
      </w:r>
    </w:p>
    <w:p w14:paraId="28D9616D" w14:textId="77777777" w:rsidR="007E4BAA" w:rsidRPr="00AB755F" w:rsidRDefault="007E4BAA" w:rsidP="007E4BAA">
      <w:r>
        <w:t>In March 2023, minimum wage in New Zealand rose to $</w:t>
      </w:r>
      <w:r w:rsidRPr="00AD3894">
        <w:t>22.70</w:t>
      </w:r>
      <w:r>
        <w:t>,</w:t>
      </w:r>
      <w:r>
        <w:rPr>
          <w:rStyle w:val="EndnoteReference"/>
        </w:rPr>
        <w:endnoteReference w:id="30"/>
      </w:r>
      <w:r>
        <w:t xml:space="preserve"> posing further issues for sustaining the payment of support staff out of Support Funds and illustrating the need for the overall budget to increase to allow for changes over time.</w:t>
      </w:r>
    </w:p>
    <w:p w14:paraId="392E7043" w14:textId="682858DA" w:rsidR="00165559" w:rsidRPr="00FF755B" w:rsidRDefault="00165559" w:rsidP="00165559">
      <w:pPr>
        <w:pStyle w:val="Heading3"/>
        <w:rPr>
          <w:lang w:val="en-US"/>
        </w:rPr>
      </w:pPr>
      <w:bookmarkStart w:id="107" w:name="_Toc106381584"/>
      <w:bookmarkStart w:id="108" w:name="_Toc106639989"/>
      <w:bookmarkStart w:id="109" w:name="_Toc107500764"/>
      <w:bookmarkStart w:id="110" w:name="_Toc107502759"/>
      <w:bookmarkStart w:id="111" w:name="_Toc108022134"/>
      <w:bookmarkStart w:id="112" w:name="_Toc133076256"/>
      <w:bookmarkEnd w:id="106"/>
      <w:r w:rsidRPr="00172243">
        <w:t>Funding</w:t>
      </w:r>
      <w:r>
        <w:rPr>
          <w:lang w:val="en-US"/>
        </w:rPr>
        <w:t xml:space="preserve"> </w:t>
      </w:r>
      <w:r w:rsidR="00471D48">
        <w:rPr>
          <w:lang w:val="en-US"/>
        </w:rPr>
        <w:t>c</w:t>
      </w:r>
      <w:r>
        <w:rPr>
          <w:lang w:val="en-US"/>
        </w:rPr>
        <w:t>aps</w:t>
      </w:r>
      <w:bookmarkEnd w:id="107"/>
      <w:bookmarkEnd w:id="108"/>
      <w:bookmarkEnd w:id="109"/>
      <w:bookmarkEnd w:id="110"/>
      <w:bookmarkEnd w:id="111"/>
      <w:bookmarkEnd w:id="112"/>
    </w:p>
    <w:p w14:paraId="163F3CA0" w14:textId="0D7FF021" w:rsidR="00AA107D" w:rsidRDefault="00165559" w:rsidP="00D4678A">
      <w:r>
        <w:t xml:space="preserve">Disabled people feel undervalued when considering the amount of funding available has never increased, despite inflation and cost of living rises. </w:t>
      </w:r>
      <w:r>
        <w:rPr>
          <w:lang w:val="en-US" w:eastAsia="en-NZ"/>
        </w:rPr>
        <w:t xml:space="preserve">This causes a major barrier for people in obtaining equitable access to the workplace. </w:t>
      </w:r>
      <w:r w:rsidRPr="006458F3">
        <w:t xml:space="preserve">The </w:t>
      </w:r>
      <w:r>
        <w:t xml:space="preserve">maximum amount for </w:t>
      </w:r>
      <w:r>
        <w:rPr>
          <w:lang w:val="en-US" w:eastAsia="en-NZ"/>
        </w:rPr>
        <w:t xml:space="preserve">Job Support </w:t>
      </w:r>
      <w:r w:rsidR="007627D2">
        <w:rPr>
          <w:lang w:val="en-US" w:eastAsia="en-NZ"/>
        </w:rPr>
        <w:t>and</w:t>
      </w:r>
      <w:r>
        <w:rPr>
          <w:lang w:val="en-US" w:eastAsia="en-NZ"/>
        </w:rPr>
        <w:t xml:space="preserve"> Training Support </w:t>
      </w:r>
      <w:r w:rsidR="00A450B5">
        <w:rPr>
          <w:lang w:val="en-US" w:eastAsia="en-NZ"/>
        </w:rPr>
        <w:t>has</w:t>
      </w:r>
      <w:r>
        <w:rPr>
          <w:lang w:val="en-US" w:eastAsia="en-NZ"/>
        </w:rPr>
        <w:t xml:space="preserve"> </w:t>
      </w:r>
      <w:r>
        <w:t xml:space="preserve">remained </w:t>
      </w:r>
      <w:r w:rsidRPr="006458F3">
        <w:t>$16,900</w:t>
      </w:r>
      <w:r>
        <w:t xml:space="preserve"> for </w:t>
      </w:r>
      <w:r w:rsidR="006E3B8A">
        <w:t xml:space="preserve">almost thirty </w:t>
      </w:r>
      <w:r w:rsidR="009F72C7">
        <w:t>years since</w:t>
      </w:r>
      <w:r w:rsidR="006A0A58">
        <w:t xml:space="preserve"> the fund was introduced in 1994.</w:t>
      </w:r>
      <w:bookmarkStart w:id="113" w:name="_Toc106381585"/>
      <w:bookmarkStart w:id="114" w:name="_Toc106639990"/>
      <w:bookmarkStart w:id="115" w:name="_Toc107500765"/>
      <w:bookmarkStart w:id="116" w:name="_Toc107502760"/>
      <w:bookmarkStart w:id="117" w:name="_Toc108022135"/>
      <w:bookmarkStart w:id="118" w:name="_Toc106198833"/>
    </w:p>
    <w:p w14:paraId="055F6740" w14:textId="2DF49DB6" w:rsidR="00D4678A" w:rsidRPr="0002174E" w:rsidRDefault="00D4678A" w:rsidP="00D4678A">
      <w:r>
        <w:t>The key difference with Training Support, in comparison with Job Support, is that the maximum amount able to be accessed per individual is across a lifetime rather than yearly. This is seen as highly problematic as i</w:t>
      </w:r>
      <w:r w:rsidR="0055054C">
        <w:t>t</w:t>
      </w:r>
      <w:r>
        <w:t xml:space="preserve"> does not account for retraining into different careers later in life or upskilling to re-enter the workforce after unforeseen </w:t>
      </w:r>
      <w:r>
        <w:lastRenderedPageBreak/>
        <w:t xml:space="preserve">situations such as redundancies. Many members expressed concern that younger people may not realise </w:t>
      </w:r>
      <w:r w:rsidRPr="006458F3">
        <w:t xml:space="preserve">they </w:t>
      </w:r>
      <w:r>
        <w:t>could</w:t>
      </w:r>
      <w:r w:rsidRPr="006458F3">
        <w:t xml:space="preserve"> need</w:t>
      </w:r>
      <w:r>
        <w:t xml:space="preserve"> to access further training support</w:t>
      </w:r>
      <w:r w:rsidRPr="006458F3">
        <w:t xml:space="preserve"> later in life</w:t>
      </w:r>
      <w:r>
        <w:t>.</w:t>
      </w:r>
    </w:p>
    <w:p w14:paraId="13C177A2" w14:textId="002BEC79" w:rsidR="00E80E28" w:rsidRDefault="00D4678A" w:rsidP="00D4678A">
      <w:r w:rsidRPr="006458F3">
        <w:t xml:space="preserve">Once </w:t>
      </w:r>
      <w:r>
        <w:t>someone’s</w:t>
      </w:r>
      <w:r w:rsidR="0055054C">
        <w:t xml:space="preserve"> Training Support </w:t>
      </w:r>
      <w:r>
        <w:t>is spent, there is no opportunity for more.</w:t>
      </w:r>
      <w:bookmarkEnd w:id="113"/>
      <w:bookmarkEnd w:id="114"/>
      <w:bookmarkEnd w:id="115"/>
      <w:bookmarkEnd w:id="116"/>
      <w:bookmarkEnd w:id="117"/>
      <w:bookmarkEnd w:id="118"/>
      <w:r>
        <w:t xml:space="preserve"> For the d/Deaf community, this becomes highly problematic because the high cost of interpreters and transcribers means there is a limited number of training events or professional development that they are able to access across a lifetime, which is seen as an inequitable allocation of funds.</w:t>
      </w:r>
    </w:p>
    <w:p w14:paraId="604DC19A" w14:textId="2708D5C3" w:rsidR="00165559" w:rsidRPr="002E058D" w:rsidRDefault="00165559" w:rsidP="00D4678A">
      <w:r>
        <w:t xml:space="preserve">The amount of funding available to a person </w:t>
      </w:r>
      <w:r w:rsidR="0055054C">
        <w:t xml:space="preserve">often </w:t>
      </w:r>
      <w:r>
        <w:t>depends on how much has been accessed in the past and advice on this is not seen as being straightforward. When given a funding cap in any given year, some people do not realise that they can still apply for increased funding in the coming years.</w:t>
      </w:r>
    </w:p>
    <w:p w14:paraId="29383B63" w14:textId="71718230" w:rsidR="0026683C" w:rsidRDefault="0026683C" w:rsidP="0026683C">
      <w:pPr>
        <w:pStyle w:val="Heading2"/>
      </w:pPr>
      <w:bookmarkStart w:id="119" w:name="_Toc133076257"/>
      <w:r>
        <w:t xml:space="preserve">Support Funds </w:t>
      </w:r>
      <w:r w:rsidR="000D1F3E">
        <w:t>can be</w:t>
      </w:r>
      <w:r>
        <w:t xml:space="preserve"> inequitable</w:t>
      </w:r>
      <w:bookmarkEnd w:id="119"/>
    </w:p>
    <w:p w14:paraId="5B873540" w14:textId="467563A0" w:rsidR="00B65C5C" w:rsidRDefault="00B65C5C" w:rsidP="00B65C5C">
      <w:bookmarkStart w:id="120" w:name="_Toc106198824"/>
      <w:bookmarkStart w:id="121" w:name="_Toc106351818"/>
      <w:bookmarkStart w:id="122" w:name="_Toc106353151"/>
      <w:bookmarkStart w:id="123" w:name="_Toc106381573"/>
      <w:bookmarkStart w:id="124" w:name="_Toc106639978"/>
      <w:bookmarkStart w:id="125" w:name="_Toc107500753"/>
      <w:bookmarkStart w:id="126" w:name="_Toc107502748"/>
      <w:bookmarkStart w:id="127" w:name="_Toc108022123"/>
      <w:bookmarkStart w:id="128" w:name="_Toc106198820"/>
      <w:bookmarkStart w:id="129" w:name="_Toc106351814"/>
      <w:bookmarkStart w:id="130" w:name="_Toc106353147"/>
      <w:r>
        <w:t>Not all disabled people have equal access to Support Funds. Depending on a person’s impairment type, the allocation of funding can have varying impact, and a person’s age can exclude them from continuing to access the fund.</w:t>
      </w:r>
      <w:r w:rsidR="003D5C27">
        <w:t xml:space="preserve"> </w:t>
      </w:r>
      <w:r>
        <w:t xml:space="preserve">For those who are not connected with employment consultants or the disabled community, Support Funds is something they may have never even heard of. </w:t>
      </w:r>
    </w:p>
    <w:p w14:paraId="01955EBD" w14:textId="7249E2E3" w:rsidR="00136D6A" w:rsidRPr="00725D65" w:rsidRDefault="00136D6A" w:rsidP="00136D6A">
      <w:pPr>
        <w:pStyle w:val="Heading3"/>
        <w:rPr>
          <w:color w:val="767171" w:themeColor="background2" w:themeShade="80"/>
        </w:rPr>
      </w:pPr>
      <w:bookmarkStart w:id="131" w:name="_Toc133076258"/>
      <w:r>
        <w:t>Awareness of Support Funds</w:t>
      </w:r>
      <w:bookmarkEnd w:id="131"/>
    </w:p>
    <w:p w14:paraId="2F8A841B" w14:textId="7D58C8E4" w:rsidR="00F612F8" w:rsidRDefault="003A69CF" w:rsidP="00136D6A">
      <w:r>
        <w:t xml:space="preserve">When reaching out to members for feedback on their experience of accessing Support Funds, a large number of people remarked that they weren’t even aware that any funding existed and what a difference it would make to their ability to sustain employment had they known it was even an option. Likewise, </w:t>
      </w:r>
      <w:r w:rsidR="00C5001D">
        <w:t xml:space="preserve">employers </w:t>
      </w:r>
      <w:r w:rsidR="008624D1">
        <w:t xml:space="preserve">were often unaware </w:t>
      </w:r>
      <w:r w:rsidR="00EC75FE">
        <w:t xml:space="preserve">of </w:t>
      </w:r>
      <w:r w:rsidR="00136D6A">
        <w:t>the existence of Support Funds,</w:t>
      </w:r>
      <w:r w:rsidR="00EC75FE">
        <w:t xml:space="preserve"> either</w:t>
      </w:r>
      <w:r w:rsidR="00136D6A">
        <w:t xml:space="preserve"> </w:t>
      </w:r>
      <w:r w:rsidR="00EC75FE">
        <w:t>leaving them unable to communicate to employees the support available to them, or</w:t>
      </w:r>
      <w:r w:rsidR="00136D6A">
        <w:t xml:space="preserve"> leav</w:t>
      </w:r>
      <w:r w:rsidR="00EC75FE">
        <w:t xml:space="preserve">ing </w:t>
      </w:r>
      <w:r w:rsidR="00136D6A">
        <w:t xml:space="preserve">disabled </w:t>
      </w:r>
      <w:r w:rsidR="00EC75FE">
        <w:t xml:space="preserve">employees </w:t>
      </w:r>
      <w:r w:rsidR="00136D6A">
        <w:t>in the position of educating their employer or potential employer on the scheme and what the</w:t>
      </w:r>
      <w:r w:rsidR="00EC75FE">
        <w:t>y</w:t>
      </w:r>
      <w:r w:rsidR="00136D6A">
        <w:t xml:space="preserve"> should be covering</w:t>
      </w:r>
      <w:r w:rsidR="006114F7">
        <w:t xml:space="preserve">. It </w:t>
      </w:r>
      <w:r w:rsidR="00EC75FE">
        <w:t xml:space="preserve">was widely </w:t>
      </w:r>
      <w:r w:rsidR="006114F7">
        <w:t>felt that there ha</w:t>
      </w:r>
      <w:r w:rsidR="00EC75FE">
        <w:t>d</w:t>
      </w:r>
      <w:r w:rsidR="006114F7">
        <w:t xml:space="preserve"> been </w:t>
      </w:r>
      <w:r w:rsidR="00136D6A" w:rsidRPr="006458F3">
        <w:t xml:space="preserve">no awareness </w:t>
      </w:r>
      <w:r w:rsidR="00C924C3">
        <w:t xml:space="preserve">training </w:t>
      </w:r>
      <w:r w:rsidR="00136D6A" w:rsidRPr="006458F3">
        <w:t xml:space="preserve">for employers </w:t>
      </w:r>
      <w:r w:rsidR="00D95F6D">
        <w:t>about</w:t>
      </w:r>
      <w:r w:rsidR="00136D6A" w:rsidRPr="006458F3">
        <w:t xml:space="preserve"> what is covered by </w:t>
      </w:r>
      <w:r w:rsidR="00EC75FE">
        <w:t>Support Funds.</w:t>
      </w:r>
    </w:p>
    <w:p w14:paraId="31D75352" w14:textId="7943808C" w:rsidR="00136D6A" w:rsidRDefault="00C924C3" w:rsidP="00136D6A">
      <w:r>
        <w:t>People also fe</w:t>
      </w:r>
      <w:r w:rsidR="00EC75FE">
        <w:t xml:space="preserve">lt </w:t>
      </w:r>
      <w:r>
        <w:t xml:space="preserve">that </w:t>
      </w:r>
      <w:r w:rsidR="00E5299F">
        <w:t>eligibility</w:t>
      </w:r>
      <w:r>
        <w:t xml:space="preserve"> </w:t>
      </w:r>
      <w:r w:rsidR="00EC75FE">
        <w:t>for the fund was</w:t>
      </w:r>
      <w:r w:rsidR="00637255">
        <w:t xml:space="preserve"> </w:t>
      </w:r>
      <w:r w:rsidR="00136D6A" w:rsidRPr="006458F3">
        <w:t>getting strict</w:t>
      </w:r>
      <w:r>
        <w:t>er</w:t>
      </w:r>
      <w:r w:rsidR="00136D6A" w:rsidRPr="006458F3">
        <w:t xml:space="preserve"> a</w:t>
      </w:r>
      <w:r w:rsidR="00EC75FE">
        <w:t>round</w:t>
      </w:r>
      <w:r w:rsidR="00136D6A" w:rsidRPr="006458F3">
        <w:t xml:space="preserve"> what </w:t>
      </w:r>
      <w:r w:rsidR="002B5447">
        <w:t xml:space="preserve">is </w:t>
      </w:r>
      <w:r w:rsidR="00CA10B9">
        <w:t>perceived</w:t>
      </w:r>
      <w:r w:rsidR="00136D6A" w:rsidRPr="006458F3">
        <w:t xml:space="preserve"> as </w:t>
      </w:r>
      <w:r>
        <w:t>H</w:t>
      </w:r>
      <w:r w:rsidR="00136D6A" w:rsidRPr="006458F3">
        <w:t xml:space="preserve">ealth and </w:t>
      </w:r>
      <w:r>
        <w:t>S</w:t>
      </w:r>
      <w:r w:rsidR="00136D6A" w:rsidRPr="006458F3">
        <w:t>afety</w:t>
      </w:r>
      <w:r>
        <w:t>-</w:t>
      </w:r>
      <w:r w:rsidR="00136D6A" w:rsidRPr="006458F3">
        <w:t>related activities that the employer should covering.</w:t>
      </w:r>
      <w:r>
        <w:t xml:space="preserve"> </w:t>
      </w:r>
      <w:r>
        <w:lastRenderedPageBreak/>
        <w:t xml:space="preserve">However, disabled people worry that </w:t>
      </w:r>
      <w:r w:rsidR="00136D6A" w:rsidRPr="006458F3">
        <w:t>not all employers have the budget for providing support nor the awareness that this might be expected of them</w:t>
      </w:r>
      <w:r w:rsidR="00587381">
        <w:t xml:space="preserve"> and they hope that work would be done to provide employers with all the information they need.</w:t>
      </w:r>
    </w:p>
    <w:p w14:paraId="03A2407F" w14:textId="0B41D713" w:rsidR="002B2378" w:rsidRDefault="00826489" w:rsidP="0016625D">
      <w:pPr>
        <w:pStyle w:val="Heading3"/>
      </w:pPr>
      <w:bookmarkStart w:id="132" w:name="_Toc133076259"/>
      <w:r>
        <w:t>Access to e</w:t>
      </w:r>
      <w:r w:rsidR="002B2378">
        <w:t>quipment</w:t>
      </w:r>
      <w:bookmarkEnd w:id="132"/>
    </w:p>
    <w:p w14:paraId="620293AB" w14:textId="37E7C1E5" w:rsidR="002B2378" w:rsidRDefault="0071602A" w:rsidP="002B2378">
      <w:pPr>
        <w:rPr>
          <w:lang w:eastAsia="zh-CN"/>
        </w:rPr>
      </w:pPr>
      <w:r>
        <w:t>A number of disabled people we spoke with use Support Funds to acquire workplace equipment. The</w:t>
      </w:r>
      <w:r w:rsidR="0055054C">
        <w:t>y</w:t>
      </w:r>
      <w:r w:rsidR="00007BC6">
        <w:rPr>
          <w:lang w:eastAsia="zh-CN"/>
        </w:rPr>
        <w:t xml:space="preserve"> shared </w:t>
      </w:r>
      <w:r>
        <w:rPr>
          <w:lang w:eastAsia="zh-CN"/>
        </w:rPr>
        <w:t>that they could not do without</w:t>
      </w:r>
      <w:r w:rsidR="00007BC6">
        <w:rPr>
          <w:lang w:eastAsia="zh-CN"/>
        </w:rPr>
        <w:t xml:space="preserve"> the equipment </w:t>
      </w:r>
      <w:r w:rsidR="00B8370F">
        <w:rPr>
          <w:lang w:eastAsia="zh-CN"/>
        </w:rPr>
        <w:t xml:space="preserve">they access </w:t>
      </w:r>
      <w:r>
        <w:rPr>
          <w:lang w:eastAsia="zh-CN"/>
        </w:rPr>
        <w:t>and that</w:t>
      </w:r>
      <w:r w:rsidR="00B8370F">
        <w:rPr>
          <w:lang w:eastAsia="zh-CN"/>
        </w:rPr>
        <w:t xml:space="preserve"> both </w:t>
      </w:r>
      <w:r>
        <w:rPr>
          <w:lang w:eastAsia="zh-CN"/>
        </w:rPr>
        <w:t>the</w:t>
      </w:r>
      <w:r w:rsidR="00007BC6">
        <w:rPr>
          <w:lang w:eastAsia="zh-CN"/>
        </w:rPr>
        <w:t xml:space="preserve"> support and equipment </w:t>
      </w:r>
      <w:r>
        <w:rPr>
          <w:lang w:eastAsia="zh-CN"/>
        </w:rPr>
        <w:t xml:space="preserve">they </w:t>
      </w:r>
      <w:r w:rsidR="00007BC6">
        <w:rPr>
          <w:lang w:eastAsia="zh-CN"/>
        </w:rPr>
        <w:t>get is invaluable.</w:t>
      </w:r>
      <w:r w:rsidR="00B8370F">
        <w:rPr>
          <w:lang w:eastAsia="zh-CN"/>
        </w:rPr>
        <w:t xml:space="preserve"> Despite </w:t>
      </w:r>
      <w:r w:rsidR="00564515">
        <w:rPr>
          <w:lang w:eastAsia="zh-CN"/>
        </w:rPr>
        <w:t xml:space="preserve">this positive feedback, many </w:t>
      </w:r>
      <w:r w:rsidR="0055054C">
        <w:rPr>
          <w:lang w:eastAsia="zh-CN"/>
        </w:rPr>
        <w:t xml:space="preserve">people </w:t>
      </w:r>
      <w:r w:rsidR="00564515">
        <w:rPr>
          <w:lang w:eastAsia="zh-CN"/>
        </w:rPr>
        <w:t>also share</w:t>
      </w:r>
      <w:r w:rsidR="0055054C">
        <w:rPr>
          <w:lang w:eastAsia="zh-CN"/>
        </w:rPr>
        <w:t>d</w:t>
      </w:r>
      <w:r w:rsidR="00564515">
        <w:rPr>
          <w:lang w:eastAsia="zh-CN"/>
        </w:rPr>
        <w:t xml:space="preserve"> their observations of inequities in eligibility for accessing equipment through Job Support. For example, </w:t>
      </w:r>
      <w:r w:rsidR="00CB125B">
        <w:rPr>
          <w:lang w:eastAsia="zh-CN"/>
        </w:rPr>
        <w:t xml:space="preserve">partial approvals could lead to issues with </w:t>
      </w:r>
      <w:r w:rsidR="00564515">
        <w:rPr>
          <w:lang w:eastAsia="zh-CN"/>
        </w:rPr>
        <w:t>asset retentio</w:t>
      </w:r>
      <w:r w:rsidR="00CB125B">
        <w:rPr>
          <w:lang w:eastAsia="zh-CN"/>
        </w:rPr>
        <w:t xml:space="preserve">n, as was the case with a </w:t>
      </w:r>
      <w:r w:rsidR="00CB125B">
        <w:t xml:space="preserve">disabled person who was denied </w:t>
      </w:r>
      <w:r w:rsidR="00DD2025">
        <w:t xml:space="preserve">full </w:t>
      </w:r>
      <w:r w:rsidR="00CB125B">
        <w:t>funding for an ergonomic chair</w:t>
      </w:r>
      <w:r w:rsidR="00DD2025">
        <w:t xml:space="preserve">. </w:t>
      </w:r>
      <w:r w:rsidR="00CB125B">
        <w:t>They negotiated with their employer to cover part of the cost, although the employer</w:t>
      </w:r>
      <w:r w:rsidR="00CB125B" w:rsidRPr="006458F3">
        <w:t xml:space="preserve"> </w:t>
      </w:r>
      <w:r w:rsidR="00DD2025">
        <w:t>included</w:t>
      </w:r>
      <w:r w:rsidR="00CB125B">
        <w:t xml:space="preserve"> </w:t>
      </w:r>
      <w:r w:rsidR="00645EEA">
        <w:t xml:space="preserve">a </w:t>
      </w:r>
      <w:r w:rsidR="00CB125B">
        <w:t xml:space="preserve">condition </w:t>
      </w:r>
      <w:r w:rsidR="00CB125B" w:rsidRPr="006458F3">
        <w:t>that the</w:t>
      </w:r>
      <w:r w:rsidR="00645EEA">
        <w:t xml:space="preserve"> organisation</w:t>
      </w:r>
      <w:r w:rsidR="00CB125B" w:rsidRPr="006458F3">
        <w:t xml:space="preserve"> would keep the chair if </w:t>
      </w:r>
      <w:r w:rsidR="00645EEA">
        <w:t>they</w:t>
      </w:r>
      <w:r w:rsidR="00CB125B">
        <w:t xml:space="preserve"> </w:t>
      </w:r>
      <w:r w:rsidR="00CB125B" w:rsidRPr="006458F3">
        <w:t>ever left</w:t>
      </w:r>
      <w:r w:rsidR="00CB125B">
        <w:t xml:space="preserve"> the company.</w:t>
      </w:r>
      <w:r w:rsidR="00DD2025">
        <w:t xml:space="preserve"> This </w:t>
      </w:r>
      <w:r w:rsidR="004220F7">
        <w:t>left</w:t>
      </w:r>
      <w:r w:rsidR="00DD2025">
        <w:t xml:space="preserve"> the disabled person</w:t>
      </w:r>
      <w:r w:rsidR="004220F7">
        <w:t xml:space="preserve"> with the financial burden of </w:t>
      </w:r>
      <w:r w:rsidR="0055054C">
        <w:t>having</w:t>
      </w:r>
      <w:r w:rsidR="004220F7">
        <w:t xml:space="preserve"> to </w:t>
      </w:r>
      <w:r w:rsidR="00DD2025">
        <w:t xml:space="preserve">cover the cost themselves </w:t>
      </w:r>
      <w:r w:rsidR="004220F7">
        <w:t>so as not to</w:t>
      </w:r>
      <w:r w:rsidR="00DD2025">
        <w:t xml:space="preserve"> jeopardise </w:t>
      </w:r>
      <w:r w:rsidR="004220F7">
        <w:t xml:space="preserve">their </w:t>
      </w:r>
      <w:r w:rsidR="004B50B6">
        <w:t xml:space="preserve">access to a chair when </w:t>
      </w:r>
      <w:r w:rsidR="00645EEA">
        <w:t>chang</w:t>
      </w:r>
      <w:r w:rsidR="004220F7">
        <w:t>ing</w:t>
      </w:r>
      <w:r w:rsidR="00645EEA">
        <w:t xml:space="preserve"> jobs.</w:t>
      </w:r>
      <w:r w:rsidR="0055054C">
        <w:rPr>
          <w:lang w:eastAsia="zh-CN"/>
        </w:rPr>
        <w:t xml:space="preserve"> </w:t>
      </w:r>
      <w:r w:rsidR="004220F7">
        <w:t xml:space="preserve">This was a common theme, with </w:t>
      </w:r>
      <w:r w:rsidR="0085141A">
        <w:t>another</w:t>
      </w:r>
      <w:r w:rsidR="002B2378">
        <w:t xml:space="preserve"> person </w:t>
      </w:r>
      <w:r w:rsidR="0085141A">
        <w:t>sharing that they have</w:t>
      </w:r>
      <w:r w:rsidR="002B2378">
        <w:t xml:space="preserve"> equipment funded by ACC that stays with them throughout their career</w:t>
      </w:r>
      <w:r w:rsidR="0055054C">
        <w:t>, but wish</w:t>
      </w:r>
      <w:r w:rsidR="00D95F6D">
        <w:t>ed</w:t>
      </w:r>
      <w:r w:rsidR="002B2378">
        <w:t xml:space="preserve"> this was </w:t>
      </w:r>
      <w:r w:rsidR="0055054C">
        <w:t xml:space="preserve">also </w:t>
      </w:r>
      <w:r w:rsidR="002B2378">
        <w:t xml:space="preserve">the case </w:t>
      </w:r>
      <w:r w:rsidR="008316DE">
        <w:t xml:space="preserve">for </w:t>
      </w:r>
      <w:r w:rsidR="0055054C">
        <w:t>everyone else.</w:t>
      </w:r>
    </w:p>
    <w:p w14:paraId="67AD027A" w14:textId="6A1C086E" w:rsidR="00A07BBF" w:rsidRDefault="0055054C" w:rsidP="002B2378">
      <w:r>
        <w:t>Some</w:t>
      </w:r>
      <w:r w:rsidR="008316DE">
        <w:t xml:space="preserve"> equipment </w:t>
      </w:r>
      <w:r>
        <w:t xml:space="preserve">is </w:t>
      </w:r>
      <w:r w:rsidR="00C61089">
        <w:t xml:space="preserve">often not fully funded because </w:t>
      </w:r>
      <w:r>
        <w:t>it has</w:t>
      </w:r>
      <w:r w:rsidR="008316DE">
        <w:t xml:space="preserve"> the potential of also being used outside of the workplace</w:t>
      </w:r>
      <w:r w:rsidR="00C61089">
        <w:t>. For example, n</w:t>
      </w:r>
      <w:r w:rsidR="00A07BBF">
        <w:t xml:space="preserve">oise cancelling headphones that assist some disabled people in </w:t>
      </w:r>
      <w:r w:rsidR="006334B5">
        <w:t>managing loud workplaces</w:t>
      </w:r>
      <w:r w:rsidR="00082AEB">
        <w:t xml:space="preserve"> may also be used elsewhere</w:t>
      </w:r>
      <w:r w:rsidR="00D51304">
        <w:t>.</w:t>
      </w:r>
      <w:r w:rsidR="00082AEB">
        <w:t xml:space="preserve"> </w:t>
      </w:r>
      <w:r w:rsidR="00D51304">
        <w:t>This</w:t>
      </w:r>
      <w:r w:rsidR="00082AEB">
        <w:t xml:space="preserve"> includes </w:t>
      </w:r>
      <w:r w:rsidR="00D65F93">
        <w:t>use on</w:t>
      </w:r>
      <w:r w:rsidR="00082AEB">
        <w:t xml:space="preserve"> public transport, which </w:t>
      </w:r>
      <w:r w:rsidR="00881765">
        <w:t>was felt to</w:t>
      </w:r>
      <w:r w:rsidR="00D51304">
        <w:t xml:space="preserve"> be unfair because it would</w:t>
      </w:r>
      <w:r w:rsidR="00881765">
        <w:t xml:space="preserve"> also be something enabling access to employment. </w:t>
      </w:r>
      <w:r w:rsidR="00082AEB">
        <w:t>Th</w:t>
      </w:r>
      <w:r w:rsidR="00881765">
        <w:t>ese funding choices</w:t>
      </w:r>
      <w:r w:rsidR="00082AEB">
        <w:t xml:space="preserve"> </w:t>
      </w:r>
      <w:r w:rsidR="00845009">
        <w:t>have</w:t>
      </w:r>
      <w:r w:rsidR="00082AEB">
        <w:t xml:space="preserve"> the impact of financial stress f</w:t>
      </w:r>
      <w:r w:rsidR="003E2D95">
        <w:t>or those who cannot afford the remaining amount, or have employers that cannot</w:t>
      </w:r>
      <w:r w:rsidR="00C12AE5">
        <w:t xml:space="preserve">, </w:t>
      </w:r>
      <w:r w:rsidR="00082AEB">
        <w:t>leading to</w:t>
      </w:r>
      <w:r w:rsidR="00C956C3">
        <w:t xml:space="preserve"> inequitable access to the workplace.</w:t>
      </w:r>
    </w:p>
    <w:p w14:paraId="0633AAAA" w14:textId="77777777" w:rsidR="0016625D" w:rsidRDefault="0016625D" w:rsidP="0016625D">
      <w:pPr>
        <w:pStyle w:val="Heading3"/>
      </w:pPr>
      <w:bookmarkStart w:id="133" w:name="_Toc133076260"/>
      <w:r w:rsidRPr="00172243">
        <w:t>Access</w:t>
      </w:r>
      <w:r>
        <w:t xml:space="preserve"> to interpreters</w:t>
      </w:r>
      <w:bookmarkEnd w:id="120"/>
      <w:bookmarkEnd w:id="121"/>
      <w:bookmarkEnd w:id="122"/>
      <w:bookmarkEnd w:id="123"/>
      <w:bookmarkEnd w:id="124"/>
      <w:bookmarkEnd w:id="125"/>
      <w:bookmarkEnd w:id="126"/>
      <w:bookmarkEnd w:id="127"/>
      <w:bookmarkEnd w:id="133"/>
    </w:p>
    <w:p w14:paraId="333DBD5C" w14:textId="38D36188" w:rsidR="0016625D" w:rsidRPr="001176A2" w:rsidRDefault="0016625D" w:rsidP="0016625D">
      <w:r>
        <w:t xml:space="preserve">A big issue for the </w:t>
      </w:r>
      <w:r w:rsidR="00587381">
        <w:t>d/</w:t>
      </w:r>
      <w:r>
        <w:t xml:space="preserve">Deaf community was explained as being around the right to access interpreting services of their choice. For example, accessing on-call interpreters over video is not always appropriate and some </w:t>
      </w:r>
      <w:r w:rsidR="00350750">
        <w:t>d/</w:t>
      </w:r>
      <w:r>
        <w:t>Deaf people prefer interpreters that they have established a trustful relationship with.</w:t>
      </w:r>
      <w:r w:rsidR="00123148">
        <w:t xml:space="preserve"> People we spoke to </w:t>
      </w:r>
      <w:r w:rsidR="00E72235">
        <w:t>were disappointed in not having</w:t>
      </w:r>
      <w:r w:rsidRPr="006458F3">
        <w:t xml:space="preserve"> </w:t>
      </w:r>
      <w:r w:rsidR="00A2517F">
        <w:t>this</w:t>
      </w:r>
      <w:r w:rsidRPr="006458F3">
        <w:t xml:space="preserve"> choice</w:t>
      </w:r>
      <w:r w:rsidR="00A2517F">
        <w:t xml:space="preserve">, describing it as </w:t>
      </w:r>
      <w:r w:rsidR="00A2517F" w:rsidRPr="006458F3">
        <w:t>disempowering</w:t>
      </w:r>
      <w:r w:rsidR="00A2517F">
        <w:t xml:space="preserve">. However, </w:t>
      </w:r>
      <w:r w:rsidR="00C530D0">
        <w:t>it</w:t>
      </w:r>
      <w:r>
        <w:t xml:space="preserve"> was acknowledged that applicants do</w:t>
      </w:r>
      <w:r w:rsidR="00FD1C19">
        <w:t xml:space="preserve"> technically</w:t>
      </w:r>
      <w:r>
        <w:t xml:space="preserve"> have a choice for how </w:t>
      </w:r>
      <w:r>
        <w:lastRenderedPageBreak/>
        <w:t>to access interpreting services but it was also noted that, for many, this choice was not apparent in the wording of the application form</w:t>
      </w:r>
      <w:r w:rsidR="00350750">
        <w:t xml:space="preserve">, with one person suggesting “the </w:t>
      </w:r>
      <w:r>
        <w:t>tone on the forms tells a different story</w:t>
      </w:r>
      <w:r w:rsidR="00350750">
        <w:t>”.</w:t>
      </w:r>
    </w:p>
    <w:p w14:paraId="146DDB2C" w14:textId="5B5DCD22" w:rsidR="0016625D" w:rsidRPr="00925B8A" w:rsidRDefault="0016625D" w:rsidP="0016625D">
      <w:r>
        <w:t xml:space="preserve">From a service provider </w:t>
      </w:r>
      <w:r w:rsidR="002D3B44">
        <w:t>perspective</w:t>
      </w:r>
      <w:r>
        <w:t>, access to interpreters for</w:t>
      </w:r>
      <w:r w:rsidR="00D51304">
        <w:t xml:space="preserve"> d/</w:t>
      </w:r>
      <w:r>
        <w:t xml:space="preserve">Deaf people seeking employment was seen as lacking. One Employment Consultant explained that Job Support </w:t>
      </w:r>
      <w:r w:rsidR="00D95F6D">
        <w:t xml:space="preserve">was </w:t>
      </w:r>
      <w:r>
        <w:t xml:space="preserve">not able to be used to meet with a </w:t>
      </w:r>
      <w:r w:rsidR="00350750">
        <w:t>d/</w:t>
      </w:r>
      <w:r>
        <w:t>Deaf person to support them in obtaining employment.</w:t>
      </w:r>
      <w:r w:rsidR="00350750">
        <w:t xml:space="preserve"> T</w:t>
      </w:r>
      <w:r>
        <w:t>his was seen as an add</w:t>
      </w:r>
      <w:r w:rsidR="00D51304">
        <w:t>itional</w:t>
      </w:r>
      <w:r>
        <w:t xml:space="preserve"> barrier to even begin</w:t>
      </w:r>
      <w:r w:rsidR="00D95F6D">
        <w:t>ning</w:t>
      </w:r>
      <w:r>
        <w:t xml:space="preserve"> the journey into employment.</w:t>
      </w:r>
    </w:p>
    <w:p w14:paraId="4D1E701B" w14:textId="073AEDDF" w:rsidR="00826489" w:rsidRPr="0016625D" w:rsidRDefault="00826489" w:rsidP="00826489">
      <w:pPr>
        <w:pStyle w:val="Heading3"/>
        <w:rPr>
          <w:color w:val="767171" w:themeColor="background2" w:themeShade="80"/>
        </w:rPr>
      </w:pPr>
      <w:bookmarkStart w:id="134" w:name="_Toc106198825"/>
      <w:bookmarkStart w:id="135" w:name="_Toc106351819"/>
      <w:bookmarkStart w:id="136" w:name="_Toc106353152"/>
      <w:bookmarkStart w:id="137" w:name="_Toc106381578"/>
      <w:bookmarkStart w:id="138" w:name="_Toc106639983"/>
      <w:bookmarkStart w:id="139" w:name="_Toc107500758"/>
      <w:bookmarkStart w:id="140" w:name="_Toc107502753"/>
      <w:bookmarkStart w:id="141" w:name="_Toc108022128"/>
      <w:bookmarkStart w:id="142" w:name="_Toc133076261"/>
      <w:bookmarkStart w:id="143" w:name="_Toc106381574"/>
      <w:bookmarkStart w:id="144" w:name="_Toc106639979"/>
      <w:bookmarkStart w:id="145" w:name="_Toc107500754"/>
      <w:bookmarkStart w:id="146" w:name="_Toc107502749"/>
      <w:bookmarkStart w:id="147" w:name="_Toc108022124"/>
      <w:r>
        <w:rPr>
          <w:lang w:val="en-US"/>
        </w:rPr>
        <w:t xml:space="preserve">Access to offsite </w:t>
      </w:r>
      <w:r w:rsidRPr="00172243">
        <w:t>work</w:t>
      </w:r>
      <w:r>
        <w:rPr>
          <w:lang w:val="en-US"/>
        </w:rPr>
        <w:t xml:space="preserve"> </w:t>
      </w:r>
      <w:r w:rsidRPr="00305997">
        <w:t>events</w:t>
      </w:r>
      <w:bookmarkEnd w:id="134"/>
      <w:bookmarkEnd w:id="135"/>
      <w:bookmarkEnd w:id="136"/>
      <w:bookmarkEnd w:id="137"/>
      <w:bookmarkEnd w:id="138"/>
      <w:bookmarkEnd w:id="139"/>
      <w:bookmarkEnd w:id="140"/>
      <w:bookmarkEnd w:id="141"/>
      <w:bookmarkEnd w:id="142"/>
    </w:p>
    <w:p w14:paraId="23BF8850" w14:textId="77777777" w:rsidR="00826489" w:rsidRDefault="00826489" w:rsidP="00826489">
      <w:r>
        <w:t>Disabled people are at times required to travel offsite for their work. This may be for meetings, client visits, or conferences. The need for work-related travel can be disabling for some people, impacting on their career projection.</w:t>
      </w:r>
      <w:r>
        <w:rPr>
          <w:rStyle w:val="EndnoteReference"/>
        </w:rPr>
        <w:endnoteReference w:id="31"/>
      </w:r>
      <w:r>
        <w:t xml:space="preserve"> These situations are seen as being difficult to gain funding for and, at times, declined applications for funding participation in these events would lead to reduced or no participation.</w:t>
      </w:r>
    </w:p>
    <w:p w14:paraId="05DD2A00" w14:textId="14F58B21" w:rsidR="00826489" w:rsidRPr="00025A62" w:rsidRDefault="00826489" w:rsidP="00826489">
      <w:pPr>
        <w:rPr>
          <w:color w:val="767171" w:themeColor="background2" w:themeShade="80"/>
        </w:rPr>
      </w:pPr>
      <w:r>
        <w:rPr>
          <w:lang w:val="en-US"/>
        </w:rPr>
        <w:t xml:space="preserve">The lack of flexibility around funding work trips is specifically referenced in a situation where a disabled person required a support person to travel with them to an out-of-town work event for both employment support and personal care. This required funding the same support person through two different funding streams; Ministry of Health Individualised Funding and Job Support. However, this was not considered within the scope of Support Funds so there was no flexibility around </w:t>
      </w:r>
      <w:r w:rsidRPr="006458F3">
        <w:t>reimburs</w:t>
      </w:r>
      <w:r>
        <w:t>ing the</w:t>
      </w:r>
      <w:r w:rsidRPr="006458F3">
        <w:t xml:space="preserve"> cost</w:t>
      </w:r>
      <w:r>
        <w:t xml:space="preserve"> of support staff travelling with the disabled person. This member felt it was “deeply inappropriate” to ask the</w:t>
      </w:r>
      <w:r w:rsidRPr="006458F3">
        <w:t xml:space="preserve"> </w:t>
      </w:r>
      <w:r>
        <w:t>person</w:t>
      </w:r>
      <w:r w:rsidRPr="006458F3">
        <w:t xml:space="preserve"> r</w:t>
      </w:r>
      <w:r>
        <w:t>u</w:t>
      </w:r>
      <w:r w:rsidRPr="006458F3">
        <w:t>n</w:t>
      </w:r>
      <w:r>
        <w:t>ning</w:t>
      </w:r>
      <w:r w:rsidRPr="006458F3">
        <w:t xml:space="preserve"> the workshop to assist </w:t>
      </w:r>
      <w:r>
        <w:t>them</w:t>
      </w:r>
      <w:r w:rsidRPr="006458F3">
        <w:t xml:space="preserve"> in </w:t>
      </w:r>
      <w:r>
        <w:t>their</w:t>
      </w:r>
      <w:r w:rsidRPr="006458F3">
        <w:t xml:space="preserve"> duties</w:t>
      </w:r>
      <w:r>
        <w:t>, as was suggested to them by Support Funds.</w:t>
      </w:r>
    </w:p>
    <w:p w14:paraId="10A0F9AD" w14:textId="77777777" w:rsidR="00826489" w:rsidRPr="001176A2" w:rsidRDefault="00826489" w:rsidP="00826489">
      <w:pPr>
        <w:rPr>
          <w:rStyle w:val="Emphasis"/>
          <w:i w:val="0"/>
          <w:color w:val="29797F"/>
        </w:rPr>
      </w:pPr>
      <w:r>
        <w:t>I</w:t>
      </w:r>
      <w:r w:rsidRPr="006458F3">
        <w:t xml:space="preserve">nterpreting costs can be </w:t>
      </w:r>
      <w:r>
        <w:t xml:space="preserve">a large proportion of </w:t>
      </w:r>
      <w:r w:rsidRPr="006458F3">
        <w:t>an event budget</w:t>
      </w:r>
      <w:r>
        <w:t xml:space="preserve"> if a d/Deaf person wishes to attend</w:t>
      </w:r>
      <w:r w:rsidRPr="006458F3">
        <w:t xml:space="preserve">, especially if an organiser isn’t prepared. Often an organiser will assume Support Funds cover the event and </w:t>
      </w:r>
      <w:r>
        <w:t>some members felt it was “</w:t>
      </w:r>
      <w:r w:rsidRPr="006458F3">
        <w:t>demoralising</w:t>
      </w:r>
      <w:r>
        <w:t>”</w:t>
      </w:r>
      <w:r w:rsidRPr="006458F3">
        <w:t xml:space="preserve"> to then have to educate them</w:t>
      </w:r>
      <w:r>
        <w:t>. This often causes</w:t>
      </w:r>
      <w:r w:rsidRPr="006458F3">
        <w:t xml:space="preserve"> </w:t>
      </w:r>
      <w:r>
        <w:t xml:space="preserve">the person to feel </w:t>
      </w:r>
      <w:r w:rsidRPr="006458F3">
        <w:t>guilt</w:t>
      </w:r>
      <w:r>
        <w:t>y about</w:t>
      </w:r>
      <w:r w:rsidRPr="006458F3">
        <w:t xml:space="preserve"> cost</w:t>
      </w:r>
      <w:r>
        <w:t>ing</w:t>
      </w:r>
      <w:r w:rsidRPr="006458F3">
        <w:t xml:space="preserve"> the organisation so much</w:t>
      </w:r>
      <w:r>
        <w:t xml:space="preserve"> just to have equitable access to events. One member suggested creating</w:t>
      </w:r>
      <w:r w:rsidRPr="006458F3">
        <w:t xml:space="preserve"> a fund </w:t>
      </w:r>
      <w:r>
        <w:t xml:space="preserve">for interpreters at </w:t>
      </w:r>
      <w:r w:rsidRPr="006458F3">
        <w:t xml:space="preserve">one-off events like </w:t>
      </w:r>
      <w:r w:rsidRPr="006458F3">
        <w:lastRenderedPageBreak/>
        <w:t>conference</w:t>
      </w:r>
      <w:r>
        <w:t>s</w:t>
      </w:r>
      <w:r w:rsidRPr="006458F3">
        <w:t xml:space="preserve"> or hui</w:t>
      </w:r>
      <w:r>
        <w:t xml:space="preserve"> so that attending</w:t>
      </w:r>
      <w:r w:rsidRPr="006458F3">
        <w:t xml:space="preserve"> </w:t>
      </w:r>
      <w:r>
        <w:t xml:space="preserve">such events wouldn’t </w:t>
      </w:r>
      <w:r w:rsidRPr="006458F3">
        <w:t xml:space="preserve">affect </w:t>
      </w:r>
      <w:r>
        <w:t xml:space="preserve">their </w:t>
      </w:r>
      <w:r w:rsidRPr="006458F3">
        <w:t>personal Support Fund allocation</w:t>
      </w:r>
      <w:r>
        <w:t>.</w:t>
      </w:r>
    </w:p>
    <w:p w14:paraId="557DD357" w14:textId="480080ED" w:rsidR="0016625D" w:rsidRDefault="0016625D" w:rsidP="0016625D">
      <w:pPr>
        <w:pStyle w:val="Heading3"/>
      </w:pPr>
      <w:bookmarkStart w:id="148" w:name="_Toc133076262"/>
      <w:r>
        <w:t>I</w:t>
      </w:r>
      <w:r w:rsidR="00AA37C3">
        <w:t>mpact of in</w:t>
      </w:r>
      <w:r>
        <w:t xml:space="preserve">accessible </w:t>
      </w:r>
      <w:r w:rsidRPr="00172243">
        <w:t>formats</w:t>
      </w:r>
      <w:bookmarkEnd w:id="128"/>
      <w:bookmarkEnd w:id="129"/>
      <w:bookmarkEnd w:id="130"/>
      <w:bookmarkEnd w:id="143"/>
      <w:bookmarkEnd w:id="144"/>
      <w:bookmarkEnd w:id="145"/>
      <w:bookmarkEnd w:id="146"/>
      <w:bookmarkEnd w:id="147"/>
      <w:bookmarkEnd w:id="148"/>
    </w:p>
    <w:p w14:paraId="2D695807" w14:textId="75EBE8EB" w:rsidR="0021038D" w:rsidRPr="001176A2" w:rsidRDefault="0021038D" w:rsidP="0021038D">
      <w:pPr>
        <w:rPr>
          <w:i/>
          <w:color w:val="29797F"/>
        </w:rPr>
      </w:pPr>
      <w:r>
        <w:t xml:space="preserve">When receiving written communication from MSD, some people felt that messaging was unclear and sometimes contradicted by what other people within the same department had communicated both in writing and over the phone. This often resulted in people losing confidence in the Support Funds process, which </w:t>
      </w:r>
      <w:r w:rsidR="00D51304">
        <w:t>c</w:t>
      </w:r>
      <w:r>
        <w:t>ould lead to disengagement with both the application process and seeking employment.</w:t>
      </w:r>
    </w:p>
    <w:p w14:paraId="57219ED3" w14:textId="708A68BE" w:rsidR="0016625D" w:rsidRPr="00073E10" w:rsidRDefault="00D51304" w:rsidP="0016625D">
      <w:r>
        <w:t xml:space="preserve">There is an expectation that public service agencies will provide documentation in accessible formats. Since the transfer of the Support Funds back to the Ministry in March 2023, information about Support Funds has become more consolidated on one single website with access to information and application forms not only in their traditional PDF format, but also as a Word document and in alternate formats such as Māori, Easy Read, large print, audio file, and Braille. However, people’s experiences prior to this transfer were often that the </w:t>
      </w:r>
      <w:r w:rsidR="00E672C1">
        <w:t>application process</w:t>
      </w:r>
      <w:r>
        <w:t xml:space="preserve"> was</w:t>
      </w:r>
      <w:r w:rsidR="00E672C1">
        <w:t xml:space="preserve"> inaccessible</w:t>
      </w:r>
      <w:r>
        <w:t>, particularly for</w:t>
      </w:r>
      <w:r w:rsidR="00E672C1">
        <w:t xml:space="preserve"> d/Deaf</w:t>
      </w:r>
      <w:r>
        <w:t xml:space="preserve">, </w:t>
      </w:r>
      <w:r w:rsidR="00E672C1">
        <w:t xml:space="preserve">Blind </w:t>
      </w:r>
      <w:r>
        <w:t>and Deafblind members.</w:t>
      </w:r>
    </w:p>
    <w:p w14:paraId="33B457FB" w14:textId="77777777" w:rsidR="00725D65" w:rsidRDefault="00725D65" w:rsidP="00725D65">
      <w:pPr>
        <w:pStyle w:val="Heading3"/>
      </w:pPr>
      <w:bookmarkStart w:id="149" w:name="_Toc106198827"/>
      <w:bookmarkStart w:id="150" w:name="_Toc106351821"/>
      <w:bookmarkStart w:id="151" w:name="_Toc106353154"/>
      <w:bookmarkStart w:id="152" w:name="_Toc106381580"/>
      <w:bookmarkStart w:id="153" w:name="_Toc106639985"/>
      <w:bookmarkStart w:id="154" w:name="_Toc107500760"/>
      <w:bookmarkStart w:id="155" w:name="_Toc107502755"/>
      <w:bookmarkStart w:id="156" w:name="_Toc108022130"/>
      <w:bookmarkStart w:id="157" w:name="_Toc133076263"/>
      <w:r>
        <w:t xml:space="preserve">Ageing </w:t>
      </w:r>
      <w:r w:rsidRPr="00172243">
        <w:t>out</w:t>
      </w:r>
      <w:bookmarkEnd w:id="149"/>
      <w:bookmarkEnd w:id="150"/>
      <w:bookmarkEnd w:id="151"/>
      <w:bookmarkEnd w:id="152"/>
      <w:bookmarkEnd w:id="153"/>
      <w:bookmarkEnd w:id="154"/>
      <w:bookmarkEnd w:id="155"/>
      <w:bookmarkEnd w:id="156"/>
      <w:bookmarkEnd w:id="157"/>
    </w:p>
    <w:p w14:paraId="60BE856A" w14:textId="5199B284" w:rsidR="005376CF" w:rsidRDefault="005376CF" w:rsidP="005376CF">
      <w:r>
        <w:t>MSD advises that “t</w:t>
      </w:r>
      <w:r w:rsidRPr="00721193">
        <w:t>hose with sickness, injury, or disability who have received assistance to enter and retain sustainable employment under the programme before turning the age of 65 can receive assistance to retain the same employment after they turn 65, if they choose to continue in that employment.</w:t>
      </w:r>
      <w:r>
        <w:t>”</w:t>
      </w:r>
      <w:r>
        <w:rPr>
          <w:rStyle w:val="EndnoteReference"/>
        </w:rPr>
        <w:endnoteReference w:id="32"/>
      </w:r>
      <w:r>
        <w:t xml:space="preserve"> However, despite this</w:t>
      </w:r>
      <w:r w:rsidR="00A34F74">
        <w:t>, s</w:t>
      </w:r>
      <w:r>
        <w:t xml:space="preserve">ome people felt the rules were ageist because they were </w:t>
      </w:r>
      <w:r w:rsidRPr="006458F3">
        <w:t xml:space="preserve">discriminating </w:t>
      </w:r>
      <w:r w:rsidR="00B876BD">
        <w:t>by</w:t>
      </w:r>
      <w:r w:rsidRPr="006458F3">
        <w:t xml:space="preserve"> age</w:t>
      </w:r>
      <w:r>
        <w:t>.</w:t>
      </w:r>
    </w:p>
    <w:p w14:paraId="008FAA5C" w14:textId="3E6BB5E7" w:rsidR="009B6145" w:rsidRDefault="0002670F" w:rsidP="00725D65">
      <w:r>
        <w:t xml:space="preserve">Disabled </w:t>
      </w:r>
      <w:r w:rsidR="00A34F74">
        <w:t>p</w:t>
      </w:r>
      <w:r w:rsidR="00B876BD">
        <w:t xml:space="preserve">eople </w:t>
      </w:r>
      <w:r>
        <w:t>understood that</w:t>
      </w:r>
      <w:r w:rsidR="00B876BD">
        <w:t xml:space="preserve"> th</w:t>
      </w:r>
      <w:r>
        <w:t xml:space="preserve">ese criteria </w:t>
      </w:r>
      <w:r w:rsidR="00B876BD">
        <w:t>w</w:t>
      </w:r>
      <w:r>
        <w:t>ere</w:t>
      </w:r>
      <w:r w:rsidR="00B876BD">
        <w:t xml:space="preserve"> in line with other supports because su</w:t>
      </w:r>
      <w:r w:rsidR="00725D65">
        <w:t>perannuation is expected to kick in</w:t>
      </w:r>
      <w:r w:rsidR="00B876BD">
        <w:t xml:space="preserve"> at this age.</w:t>
      </w:r>
      <w:r w:rsidR="00725D65">
        <w:t xml:space="preserve"> However, </w:t>
      </w:r>
      <w:r>
        <w:t xml:space="preserve">some </w:t>
      </w:r>
      <w:r w:rsidR="00A34F74">
        <w:t>discussed the likelihood of needing to wor</w:t>
      </w:r>
      <w:r w:rsidR="00725D65">
        <w:t xml:space="preserve">k </w:t>
      </w:r>
      <w:r>
        <w:t xml:space="preserve">well into their </w:t>
      </w:r>
      <w:r w:rsidR="00030F7B">
        <w:t>sixties or seventies</w:t>
      </w:r>
      <w:r w:rsidR="00725D65">
        <w:t xml:space="preserve"> and </w:t>
      </w:r>
      <w:r w:rsidR="00A34F74">
        <w:t xml:space="preserve">that </w:t>
      </w:r>
      <w:r w:rsidR="00725D65">
        <w:t xml:space="preserve">superannuation </w:t>
      </w:r>
      <w:r w:rsidR="00A34F74">
        <w:t>would</w:t>
      </w:r>
      <w:r w:rsidR="00725D65">
        <w:t xml:space="preserve"> </w:t>
      </w:r>
      <w:r w:rsidR="00030F7B">
        <w:t xml:space="preserve">not </w:t>
      </w:r>
      <w:r w:rsidR="00A34F74">
        <w:t>be</w:t>
      </w:r>
      <w:r w:rsidR="00725D65">
        <w:t xml:space="preserve"> enough to cover </w:t>
      </w:r>
      <w:r w:rsidR="00A34F74">
        <w:t>their additional disability-related cost</w:t>
      </w:r>
      <w:r w:rsidR="00725D65">
        <w:t>s. Some people questioned how they w</w:t>
      </w:r>
      <w:r w:rsidR="00C16501">
        <w:t>ould be able to</w:t>
      </w:r>
      <w:r w:rsidR="00725D65">
        <w:t xml:space="preserve"> access </w:t>
      </w:r>
      <w:r w:rsidR="00A914B7">
        <w:t>much-needed</w:t>
      </w:r>
      <w:r w:rsidR="00725D65">
        <w:t xml:space="preserve"> Support Funds in the workplace once they </w:t>
      </w:r>
      <w:r w:rsidR="00030F7B">
        <w:t>reach the expected retirement age, particularly those who need to change roles or take on additional work after they turn 65.</w:t>
      </w:r>
    </w:p>
    <w:p w14:paraId="7DED08A5" w14:textId="136AAE01" w:rsidR="0052690F" w:rsidRPr="00466A06" w:rsidRDefault="00C16501" w:rsidP="00725D65">
      <w:r>
        <w:lastRenderedPageBreak/>
        <w:t>It is important to acknowledge that this age cut off is due to legislative restrictions. Support Funds exists within the Social Security Act</w:t>
      </w:r>
      <w:r w:rsidRPr="00C16501">
        <w:t xml:space="preserve"> </w:t>
      </w:r>
      <w:r>
        <w:t>2018,</w:t>
      </w:r>
      <w:r>
        <w:rPr>
          <w:rStyle w:val="EndnoteReference"/>
        </w:rPr>
        <w:endnoteReference w:id="33"/>
      </w:r>
      <w:r>
        <w:t xml:space="preserve"> but there is a</w:t>
      </w:r>
      <w:r w:rsidR="00321A93">
        <w:t xml:space="preserve"> shift </w:t>
      </w:r>
      <w:r>
        <w:t xml:space="preserve">to </w:t>
      </w:r>
      <w:r w:rsidR="00321A93">
        <w:t xml:space="preserve">the </w:t>
      </w:r>
      <w:r w:rsidR="00314F5B" w:rsidRPr="00314F5B">
        <w:t>New Zealand Superannuation and Retirement Income Act 2001</w:t>
      </w:r>
      <w:r w:rsidR="00A13833">
        <w:rPr>
          <w:rStyle w:val="EndnoteReference"/>
        </w:rPr>
        <w:endnoteReference w:id="34"/>
      </w:r>
      <w:r w:rsidR="00314F5B" w:rsidRPr="00314F5B">
        <w:t xml:space="preserve"> </w:t>
      </w:r>
      <w:r w:rsidR="00321A93">
        <w:t xml:space="preserve">when a person turns 65. </w:t>
      </w:r>
    </w:p>
    <w:p w14:paraId="6D4B1104" w14:textId="3AA65639" w:rsidR="0026683C" w:rsidRPr="0022262E" w:rsidRDefault="0026683C" w:rsidP="0026683C">
      <w:pPr>
        <w:pStyle w:val="Heading2"/>
      </w:pPr>
      <w:bookmarkStart w:id="158" w:name="_Toc133076264"/>
      <w:r>
        <w:t>Disabled people are</w:t>
      </w:r>
      <w:r w:rsidR="002121A8">
        <w:t xml:space="preserve"> </w:t>
      </w:r>
      <w:r>
        <w:t>discouraged from applying for Support Funds</w:t>
      </w:r>
      <w:bookmarkEnd w:id="158"/>
    </w:p>
    <w:p w14:paraId="4890929E" w14:textId="26403C45" w:rsidR="003D5C27" w:rsidRDefault="003D5C27" w:rsidP="003D5C27">
      <w:r>
        <w:t xml:space="preserve">Job Support and Training Support funding can make a profound impact to a person’s ability to gain equitable access to the workplace or learning environment. However, due to barriers </w:t>
      </w:r>
      <w:r w:rsidR="00D95F6D">
        <w:t>to</w:t>
      </w:r>
      <w:r>
        <w:t xml:space="preserve"> accessing funding, people can feel discouraged from applying. Furthermore, some people are actively discouraged from applying.</w:t>
      </w:r>
    </w:p>
    <w:p w14:paraId="6027942E" w14:textId="77777777" w:rsidR="00826489" w:rsidRDefault="00826489" w:rsidP="00826489">
      <w:pPr>
        <w:pStyle w:val="Heading3"/>
      </w:pPr>
      <w:bookmarkStart w:id="159" w:name="_Toc133076265"/>
      <w:r>
        <w:t>In employment</w:t>
      </w:r>
      <w:bookmarkEnd w:id="159"/>
    </w:p>
    <w:p w14:paraId="696C84F2" w14:textId="77777777" w:rsidR="00826489" w:rsidRPr="006907C3" w:rsidRDefault="00826489" w:rsidP="00826489">
      <w:pPr>
        <w:rPr>
          <w:lang w:val="en-US"/>
        </w:rPr>
      </w:pPr>
      <w:r>
        <w:rPr>
          <w:lang w:val="en-US"/>
        </w:rPr>
        <w:t>For one member, a traumatic experience of dealing with Support Funds resulted in a loss of trust and an unwillingness to further engage in the process, leaving them without the support they required. Their employment consultant was consequently left feeling that they should discourage clients from applying for Support Funds so as to protect them from experiencing the same trauma they had seen others go through. Other employment consultants also talked about no longer promoting the fund due to not wanting to “get hopes up” for something their clients may not receive.</w:t>
      </w:r>
    </w:p>
    <w:p w14:paraId="519DFA57" w14:textId="207BCDBD" w:rsidR="008B27DD" w:rsidRDefault="008B27DD" w:rsidP="008B27DD">
      <w:pPr>
        <w:pStyle w:val="Heading3"/>
      </w:pPr>
      <w:bookmarkStart w:id="160" w:name="_Toc133076266"/>
      <w:r>
        <w:t>In education</w:t>
      </w:r>
      <w:bookmarkEnd w:id="160"/>
    </w:p>
    <w:p w14:paraId="49BAFC03" w14:textId="32D87DD7" w:rsidR="00710982" w:rsidRDefault="0040679C" w:rsidP="0040679C">
      <w:r>
        <w:t xml:space="preserve">For some people, it </w:t>
      </w:r>
      <w:r w:rsidR="003D4C9E">
        <w:t>is n</w:t>
      </w:r>
      <w:r w:rsidR="00030F7B">
        <w:t>ot</w:t>
      </w:r>
      <w:r>
        <w:t xml:space="preserve"> a personal choice to </w:t>
      </w:r>
      <w:r w:rsidR="00030F7B">
        <w:t>dis</w:t>
      </w:r>
      <w:r>
        <w:t xml:space="preserve">engage </w:t>
      </w:r>
      <w:r w:rsidR="003D4C9E">
        <w:t>from</w:t>
      </w:r>
      <w:r>
        <w:t xml:space="preserve"> the application process. A disabled tertiary student we spoke to explained that they were actively discouraged from applying</w:t>
      </w:r>
      <w:r w:rsidR="005946E9">
        <w:t xml:space="preserve"> </w:t>
      </w:r>
      <w:r w:rsidR="003D4C9E">
        <w:t xml:space="preserve">for Training Support </w:t>
      </w:r>
      <w:r w:rsidR="005946E9">
        <w:t xml:space="preserve">by </w:t>
      </w:r>
      <w:r w:rsidR="003D4C9E">
        <w:t>the Disability Services representative</w:t>
      </w:r>
      <w:r w:rsidR="005946E9">
        <w:t xml:space="preserve"> at their university</w:t>
      </w:r>
      <w:r w:rsidR="003D4C9E">
        <w:t xml:space="preserve">. The reason given was because of </w:t>
      </w:r>
      <w:r w:rsidR="005946E9">
        <w:t xml:space="preserve">the </w:t>
      </w:r>
      <w:r w:rsidR="00D82CD9">
        <w:t xml:space="preserve">poor </w:t>
      </w:r>
      <w:r w:rsidR="005946E9">
        <w:t xml:space="preserve">reputation Support Funds </w:t>
      </w:r>
      <w:r w:rsidR="00D82CD9">
        <w:t>ha</w:t>
      </w:r>
      <w:r w:rsidR="003D4C9E">
        <w:t>s</w:t>
      </w:r>
      <w:r w:rsidR="00D82CD9">
        <w:t xml:space="preserve"> when it c</w:t>
      </w:r>
      <w:r w:rsidR="003D4C9E">
        <w:t xml:space="preserve">omes </w:t>
      </w:r>
      <w:r w:rsidR="00D82CD9">
        <w:t>to the timeline of having applications approved.</w:t>
      </w:r>
      <w:r w:rsidR="008B27DD">
        <w:t xml:space="preserve"> T</w:t>
      </w:r>
      <w:r w:rsidR="0008444C">
        <w:t>his resulted in the person having to</w:t>
      </w:r>
      <w:r w:rsidR="00CD7C01">
        <w:t xml:space="preserve"> </w:t>
      </w:r>
      <w:r w:rsidR="003D4C9E">
        <w:t>purchase the software they required to access their course by depleting</w:t>
      </w:r>
      <w:r w:rsidR="00CD7C01">
        <w:t xml:space="preserve"> </w:t>
      </w:r>
      <w:r w:rsidR="003123C2">
        <w:t>the</w:t>
      </w:r>
      <w:r w:rsidR="003D4C9E">
        <w:t xml:space="preserve"> postgraduate</w:t>
      </w:r>
      <w:r w:rsidR="003123C2">
        <w:t xml:space="preserve"> </w:t>
      </w:r>
      <w:r w:rsidR="003D4C9E">
        <w:t xml:space="preserve">allowance </w:t>
      </w:r>
      <w:r w:rsidR="003123C2">
        <w:t>usually reserved for binding a student’s thesis</w:t>
      </w:r>
      <w:r w:rsidR="00893666">
        <w:t xml:space="preserve"> </w:t>
      </w:r>
      <w:r w:rsidR="003D4C9E">
        <w:t>and attending conferences. They felt this was inequitable.</w:t>
      </w:r>
    </w:p>
    <w:p w14:paraId="06EB2A64" w14:textId="05AEE0AE" w:rsidR="00CC5EE7" w:rsidRDefault="000D1F3E" w:rsidP="00CC5EE7">
      <w:pPr>
        <w:pStyle w:val="Heading2"/>
      </w:pPr>
      <w:bookmarkStart w:id="161" w:name="_Toc133076267"/>
      <w:bookmarkStart w:id="162" w:name="_Toc106351827"/>
      <w:bookmarkStart w:id="163" w:name="_Toc106353160"/>
      <w:bookmarkStart w:id="164" w:name="_Toc106381583"/>
      <w:bookmarkStart w:id="165" w:name="_Toc106639988"/>
      <w:bookmarkStart w:id="166" w:name="_Toc107500763"/>
      <w:bookmarkStart w:id="167" w:name="_Toc107502758"/>
      <w:bookmarkStart w:id="168" w:name="_Toc108022133"/>
      <w:bookmarkStart w:id="169" w:name="_Toc106198829"/>
      <w:bookmarkStart w:id="170" w:name="_Toc106351826"/>
      <w:bookmarkStart w:id="171" w:name="_Toc106353159"/>
      <w:bookmarkEnd w:id="40"/>
      <w:r>
        <w:lastRenderedPageBreak/>
        <w:t>Barriers to funding can</w:t>
      </w:r>
      <w:r w:rsidR="003D5C27">
        <w:t xml:space="preserve"> impact employment outcomes</w:t>
      </w:r>
      <w:bookmarkEnd w:id="161"/>
    </w:p>
    <w:p w14:paraId="15862A9A" w14:textId="43DF85C7" w:rsidR="00710982" w:rsidRDefault="003D5C27" w:rsidP="00710982">
      <w:r>
        <w:t xml:space="preserve">When people experience barriers to accessing support, the impact of inequitable access affects their employment outcomes. </w:t>
      </w:r>
      <w:r w:rsidR="00710982">
        <w:t xml:space="preserve">Although Support Funds </w:t>
      </w:r>
      <w:r w:rsidR="00AC15D3">
        <w:t>is</w:t>
      </w:r>
      <w:r w:rsidR="00710982">
        <w:t xml:space="preserve"> felt to be </w:t>
      </w:r>
      <w:r w:rsidR="00710982" w:rsidRPr="006458F3">
        <w:t>a</w:t>
      </w:r>
      <w:r w:rsidR="00710982">
        <w:t xml:space="preserve">n excellent </w:t>
      </w:r>
      <w:r>
        <w:t>scheme</w:t>
      </w:r>
      <w:r w:rsidR="00710982">
        <w:t xml:space="preserve"> in theory, many disabled people felt that, in practice,</w:t>
      </w:r>
      <w:r w:rsidR="00710982" w:rsidRPr="006458F3">
        <w:t xml:space="preserve"> it no longer follow</w:t>
      </w:r>
      <w:r w:rsidR="003D4C9E">
        <w:t>ed</w:t>
      </w:r>
      <w:r w:rsidR="00710982" w:rsidRPr="006458F3">
        <w:t xml:space="preserve"> its own guidelines.</w:t>
      </w:r>
      <w:r w:rsidR="00710982">
        <w:t xml:space="preserve"> Data supports a clear drop in the number of Support Funds applications being submitted each year</w:t>
      </w:r>
      <w:r w:rsidR="003D4C9E">
        <w:t xml:space="preserve"> and </w:t>
      </w:r>
      <w:r w:rsidR="00710982">
        <w:t>difficulty in accessing the funds appears to have contributed to this drop</w:t>
      </w:r>
      <w:r w:rsidR="003D4C9E">
        <w:t>. There are concerns that this</w:t>
      </w:r>
      <w:r w:rsidR="00710982">
        <w:t xml:space="preserve"> may give a false impression that Support Funds </w:t>
      </w:r>
      <w:r w:rsidR="00AC15D3">
        <w:t>is</w:t>
      </w:r>
      <w:r w:rsidR="00710982">
        <w:t xml:space="preserve"> not needed as much as they used to be. The general feeling from </w:t>
      </w:r>
      <w:r w:rsidR="003D4C9E">
        <w:t xml:space="preserve">members was </w:t>
      </w:r>
      <w:r w:rsidR="00710982">
        <w:t xml:space="preserve">that the funds are just as needed as ever but they are either not known about by those who would benefit from them most, or people are so discouraged by negative experiences in accessing </w:t>
      </w:r>
      <w:r w:rsidR="003D4C9E">
        <w:t>Support Funds</w:t>
      </w:r>
      <w:r w:rsidR="00710982">
        <w:t xml:space="preserve"> that they no longer bother to apply. </w:t>
      </w:r>
    </w:p>
    <w:p w14:paraId="48E06AE8" w14:textId="5045AA4D" w:rsidR="00920B97" w:rsidRDefault="003D4C9E" w:rsidP="00920B97">
      <w:r>
        <w:t>Disabled people felt that t</w:t>
      </w:r>
      <w:r w:rsidR="003B13F4">
        <w:t>he barrier</w:t>
      </w:r>
      <w:r w:rsidR="00955F2E">
        <w:t>s</w:t>
      </w:r>
      <w:r w:rsidR="003B13F4">
        <w:t xml:space="preserve"> to accessing </w:t>
      </w:r>
      <w:r w:rsidR="00955F2E">
        <w:t xml:space="preserve">Support </w:t>
      </w:r>
      <w:r>
        <w:t>Funds h</w:t>
      </w:r>
      <w:r w:rsidR="00D95F6D">
        <w:t>ave</w:t>
      </w:r>
      <w:r w:rsidR="003B13F4">
        <w:t xml:space="preserve"> a negative impact on </w:t>
      </w:r>
      <w:r w:rsidR="007D3F3D">
        <w:t>their</w:t>
      </w:r>
      <w:r w:rsidR="003B13F4">
        <w:t xml:space="preserve"> ability to participate fully in employment.</w:t>
      </w:r>
      <w:r w:rsidR="007D3F3D">
        <w:t xml:space="preserve"> For some, it</w:t>
      </w:r>
      <w:r w:rsidR="00955F2E">
        <w:t xml:space="preserve"> is the difficulty </w:t>
      </w:r>
      <w:r>
        <w:t>of</w:t>
      </w:r>
      <w:r w:rsidR="00955F2E">
        <w:t xml:space="preserve"> finding information about how to access </w:t>
      </w:r>
      <w:r>
        <w:t>the funding</w:t>
      </w:r>
      <w:r w:rsidR="00955F2E">
        <w:t xml:space="preserve">, </w:t>
      </w:r>
      <w:r>
        <w:t xml:space="preserve">whereas </w:t>
      </w:r>
      <w:r w:rsidR="00955F2E">
        <w:t xml:space="preserve">for others it is the difficulty in applying for and maintaining access to </w:t>
      </w:r>
      <w:r>
        <w:t xml:space="preserve">the </w:t>
      </w:r>
      <w:r w:rsidR="00955F2E">
        <w:t>funding.</w:t>
      </w:r>
      <w:r w:rsidR="007D3F3D">
        <w:t xml:space="preserve"> </w:t>
      </w:r>
      <w:r w:rsidR="003D69FA">
        <w:t>Our discussion</w:t>
      </w:r>
      <w:r w:rsidR="00852B85">
        <w:t>s</w:t>
      </w:r>
      <w:r>
        <w:t xml:space="preserve"> </w:t>
      </w:r>
      <w:r w:rsidR="003D69FA">
        <w:t xml:space="preserve">revealed that </w:t>
      </w:r>
      <w:r w:rsidR="00852B85">
        <w:t xml:space="preserve">not only have </w:t>
      </w:r>
      <w:r w:rsidR="003D69FA">
        <w:t xml:space="preserve">many missed out on employment </w:t>
      </w:r>
      <w:r w:rsidR="00223D84">
        <w:t xml:space="preserve">opportunities such as career progression </w:t>
      </w:r>
      <w:r w:rsidR="0025198B">
        <w:t>or training</w:t>
      </w:r>
      <w:r w:rsidR="00C47A28">
        <w:t xml:space="preserve"> due to funding barriers and restrictions</w:t>
      </w:r>
      <w:r w:rsidR="00852B85">
        <w:t>, but many had also been excluded from employment altogether.</w:t>
      </w:r>
    </w:p>
    <w:p w14:paraId="7A4A859E" w14:textId="77777777" w:rsidR="00EC55D5" w:rsidRDefault="00EC55D5" w:rsidP="00EC55D5">
      <w:pPr>
        <w:pStyle w:val="Heading2"/>
      </w:pPr>
      <w:bookmarkStart w:id="172" w:name="_Toc133076268"/>
      <w:r>
        <w:t>An Enabling Good Lives approach</w:t>
      </w:r>
      <w:bookmarkEnd w:id="172"/>
    </w:p>
    <w:p w14:paraId="397F4BAC" w14:textId="1FE8B29D" w:rsidR="00B12404" w:rsidRDefault="00B12404" w:rsidP="00B12404">
      <w:r>
        <w:t xml:space="preserve">The flexibility of </w:t>
      </w:r>
      <w:r w:rsidRPr="006458F3">
        <w:t xml:space="preserve">an </w:t>
      </w:r>
      <w:r>
        <w:t>i</w:t>
      </w:r>
      <w:r w:rsidRPr="006458F3">
        <w:t xml:space="preserve">ndividualised </w:t>
      </w:r>
      <w:r>
        <w:t>f</w:t>
      </w:r>
      <w:r w:rsidRPr="006458F3">
        <w:t>unding approach</w:t>
      </w:r>
      <w:r>
        <w:t xml:space="preserve"> means</w:t>
      </w:r>
      <w:r w:rsidRPr="006458F3">
        <w:t xml:space="preserve"> disabled </w:t>
      </w:r>
      <w:r>
        <w:t>people would be</w:t>
      </w:r>
      <w:r w:rsidRPr="006458F3">
        <w:t xml:space="preserve"> in control of how and when </w:t>
      </w:r>
      <w:r>
        <w:t xml:space="preserve">their </w:t>
      </w:r>
      <w:r w:rsidRPr="006458F3">
        <w:t>funding is used</w:t>
      </w:r>
      <w:r>
        <w:t>. Having choice and control over</w:t>
      </w:r>
      <w:r w:rsidRPr="006458F3">
        <w:t xml:space="preserve"> funding in a way that </w:t>
      </w:r>
      <w:r>
        <w:t>meets support needs and enables sustained employment is a reflection of the Enabling Good Lives approach and principles.</w:t>
      </w:r>
      <w:r>
        <w:rPr>
          <w:rStyle w:val="EndnoteReference"/>
        </w:rPr>
        <w:endnoteReference w:id="35"/>
      </w:r>
      <w:r>
        <w:t xml:space="preserve"> A member we spoke with suggested that this would enable them to</w:t>
      </w:r>
      <w:r w:rsidRPr="006458F3">
        <w:t xml:space="preserve"> </w:t>
      </w:r>
      <w:r>
        <w:t xml:space="preserve">employ </w:t>
      </w:r>
      <w:r w:rsidRPr="006458F3">
        <w:t xml:space="preserve">support </w:t>
      </w:r>
      <w:r>
        <w:t xml:space="preserve">staff for </w:t>
      </w:r>
      <w:r w:rsidRPr="006458F3">
        <w:t>more hours</w:t>
      </w:r>
      <w:r>
        <w:t xml:space="preserve"> on a competitive wage</w:t>
      </w:r>
      <w:r w:rsidRPr="006458F3">
        <w:t>, thereby removing the need for them to function as contractors and manage their own tax</w:t>
      </w:r>
      <w:r>
        <w:t xml:space="preserve"> as well as improving the retention of staff.</w:t>
      </w:r>
    </w:p>
    <w:p w14:paraId="17F4E5BA" w14:textId="6A010991" w:rsidR="00EC55D5" w:rsidRDefault="00EC55D5" w:rsidP="00EC55D5">
      <w:r>
        <w:lastRenderedPageBreak/>
        <w:t xml:space="preserve">Enabling Good Lives was </w:t>
      </w:r>
      <w:r w:rsidR="003D4C9E">
        <w:t xml:space="preserve">brought up </w:t>
      </w:r>
      <w:r w:rsidR="00B12404">
        <w:t xml:space="preserve">often </w:t>
      </w:r>
      <w:r w:rsidR="003D4C9E">
        <w:t>in discussions</w:t>
      </w:r>
      <w:r>
        <w:t xml:space="preserve"> as </w:t>
      </w:r>
      <w:r w:rsidR="00B12404">
        <w:t>an aspirational</w:t>
      </w:r>
      <w:r>
        <w:t xml:space="preserve"> funding model for </w:t>
      </w:r>
      <w:r w:rsidR="00F64099">
        <w:t>the Ministry</w:t>
      </w:r>
      <w:r>
        <w:t xml:space="preserve"> to consider in the Support Funds context. </w:t>
      </w:r>
      <w:r w:rsidR="003D4C9E">
        <w:t xml:space="preserve">Members </w:t>
      </w:r>
      <w:r>
        <w:t xml:space="preserve">often suggested that </w:t>
      </w:r>
      <w:r w:rsidR="005B06F1">
        <w:t>a</w:t>
      </w:r>
      <w:r w:rsidR="00B12404">
        <w:t xml:space="preserve">n </w:t>
      </w:r>
      <w:r w:rsidRPr="006458F3">
        <w:t xml:space="preserve">approach to Support </w:t>
      </w:r>
      <w:r>
        <w:t>Funds</w:t>
      </w:r>
      <w:r w:rsidR="005B06F1">
        <w:t xml:space="preserve"> that </w:t>
      </w:r>
      <w:r w:rsidRPr="006458F3">
        <w:t xml:space="preserve">aligned with the Enabling Good Lives </w:t>
      </w:r>
      <w:r w:rsidR="00B12404">
        <w:t>approach</w:t>
      </w:r>
      <w:r w:rsidRPr="006458F3">
        <w:t xml:space="preserve"> and principles</w:t>
      </w:r>
      <w:r w:rsidR="003D4C9E" w:rsidRPr="003D4C9E">
        <w:t xml:space="preserve"> </w:t>
      </w:r>
      <w:r w:rsidR="00B12404">
        <w:t>was vital</w:t>
      </w:r>
      <w:r w:rsidRPr="006458F3">
        <w:t xml:space="preserve">. This change in approach would enable </w:t>
      </w:r>
      <w:r>
        <w:t xml:space="preserve">disabled people </w:t>
      </w:r>
      <w:r w:rsidRPr="006458F3">
        <w:t xml:space="preserve">to combine </w:t>
      </w:r>
      <w:r>
        <w:t>their different types of funding and</w:t>
      </w:r>
      <w:r w:rsidRPr="006458F3">
        <w:t xml:space="preserve"> </w:t>
      </w:r>
      <w:r>
        <w:t>allow</w:t>
      </w:r>
      <w:r w:rsidRPr="006458F3">
        <w:t xml:space="preserve"> </w:t>
      </w:r>
      <w:r>
        <w:t xml:space="preserve">them </w:t>
      </w:r>
      <w:r w:rsidRPr="006458F3">
        <w:t xml:space="preserve">to achieve the best </w:t>
      </w:r>
      <w:r w:rsidR="003D4C9E">
        <w:t xml:space="preserve">employment </w:t>
      </w:r>
      <w:r w:rsidRPr="006458F3">
        <w:t>outcome</w:t>
      </w:r>
      <w:r>
        <w:t>s</w:t>
      </w:r>
      <w:r w:rsidRPr="006458F3">
        <w:t xml:space="preserve"> possible</w:t>
      </w:r>
      <w:r>
        <w:t>.</w:t>
      </w:r>
    </w:p>
    <w:p w14:paraId="6D1AEB2E" w14:textId="77777777" w:rsidR="00EC55D5" w:rsidRDefault="00EC55D5" w:rsidP="00EC55D5"/>
    <w:p w14:paraId="3CBD2232" w14:textId="77777777" w:rsidR="00EC55D5" w:rsidRDefault="00EC55D5" w:rsidP="00EC55D5"/>
    <w:p w14:paraId="3ED5B3F4" w14:textId="77777777" w:rsidR="00EC55D5" w:rsidRDefault="00EC55D5" w:rsidP="00EC55D5">
      <w:r>
        <w:br w:type="page"/>
      </w:r>
    </w:p>
    <w:p w14:paraId="2223782B" w14:textId="77777777" w:rsidR="00920B97" w:rsidRDefault="00920B97" w:rsidP="00920B97">
      <w:pPr>
        <w:pStyle w:val="Heading1"/>
      </w:pPr>
      <w:bookmarkStart w:id="173" w:name="_Toc133076269"/>
      <w:r>
        <w:lastRenderedPageBreak/>
        <w:t>Conclusion</w:t>
      </w:r>
      <w:bookmarkEnd w:id="173"/>
    </w:p>
    <w:p w14:paraId="6BA0C3D3" w14:textId="76E0D287" w:rsidR="004D1028" w:rsidRDefault="007F0506" w:rsidP="00920B97">
      <w:pPr>
        <w:rPr>
          <w:lang w:val="en-US"/>
        </w:rPr>
      </w:pPr>
      <w:r>
        <w:rPr>
          <w:lang w:val="en-US"/>
        </w:rPr>
        <w:t xml:space="preserve">The </w:t>
      </w:r>
      <w:r w:rsidR="008E24CE" w:rsidRPr="1AD5BE2F">
        <w:rPr>
          <w:lang w:val="en-US"/>
        </w:rPr>
        <w:t xml:space="preserve">Support Funds </w:t>
      </w:r>
      <w:r>
        <w:rPr>
          <w:lang w:val="en-US"/>
        </w:rPr>
        <w:t xml:space="preserve">scheme is greatly appreciated </w:t>
      </w:r>
      <w:r w:rsidR="008E24CE" w:rsidRPr="1AD5BE2F">
        <w:rPr>
          <w:lang w:val="en-US"/>
        </w:rPr>
        <w:t>by those who are able to access it</w:t>
      </w:r>
      <w:r w:rsidR="00E87D6F">
        <w:rPr>
          <w:lang w:val="en-US"/>
        </w:rPr>
        <w:t xml:space="preserve"> and m</w:t>
      </w:r>
      <w:r>
        <w:rPr>
          <w:lang w:val="en-US"/>
        </w:rPr>
        <w:t xml:space="preserve">any of the people we spoke to </w:t>
      </w:r>
      <w:r w:rsidR="00B12404">
        <w:rPr>
          <w:lang w:val="en-US"/>
        </w:rPr>
        <w:t>emphasized</w:t>
      </w:r>
      <w:r>
        <w:rPr>
          <w:lang w:val="en-US"/>
        </w:rPr>
        <w:t xml:space="preserve"> th</w:t>
      </w:r>
      <w:r w:rsidR="002772F2">
        <w:rPr>
          <w:lang w:val="en-US"/>
        </w:rPr>
        <w:t xml:space="preserve">at </w:t>
      </w:r>
      <w:r w:rsidR="00E87D6F">
        <w:rPr>
          <w:lang w:val="en-US"/>
        </w:rPr>
        <w:t xml:space="preserve">their involvement in the labour workforce </w:t>
      </w:r>
      <w:r w:rsidR="004D1028">
        <w:rPr>
          <w:lang w:val="en-US"/>
        </w:rPr>
        <w:t>i</w:t>
      </w:r>
      <w:r w:rsidR="00E87D6F">
        <w:rPr>
          <w:lang w:val="en-US"/>
        </w:rPr>
        <w:t xml:space="preserve">s a </w:t>
      </w:r>
      <w:r w:rsidR="00B12404">
        <w:rPr>
          <w:lang w:val="en-US"/>
        </w:rPr>
        <w:t xml:space="preserve">direct </w:t>
      </w:r>
      <w:r w:rsidR="00E87D6F">
        <w:rPr>
          <w:lang w:val="en-US"/>
        </w:rPr>
        <w:t>result of being able to access these funds.</w:t>
      </w:r>
      <w:r w:rsidR="008E24CE" w:rsidRPr="1AD5BE2F">
        <w:rPr>
          <w:lang w:val="en-US"/>
        </w:rPr>
        <w:t xml:space="preserve"> </w:t>
      </w:r>
      <w:r w:rsidR="00E87D6F">
        <w:rPr>
          <w:lang w:val="en-US"/>
        </w:rPr>
        <w:t xml:space="preserve">However, </w:t>
      </w:r>
      <w:r w:rsidR="00611137">
        <w:rPr>
          <w:lang w:val="en-US"/>
        </w:rPr>
        <w:t xml:space="preserve">the </w:t>
      </w:r>
      <w:r w:rsidR="008E24CE" w:rsidRPr="1AD5BE2F">
        <w:rPr>
          <w:lang w:val="en-US"/>
        </w:rPr>
        <w:t>application process</w:t>
      </w:r>
      <w:r w:rsidR="00611137">
        <w:rPr>
          <w:lang w:val="en-US"/>
        </w:rPr>
        <w:t xml:space="preserve"> </w:t>
      </w:r>
      <w:r w:rsidR="004D1028">
        <w:rPr>
          <w:lang w:val="en-US"/>
        </w:rPr>
        <w:t>i</w:t>
      </w:r>
      <w:r w:rsidR="00611137">
        <w:rPr>
          <w:lang w:val="en-US"/>
        </w:rPr>
        <w:t xml:space="preserve">s </w:t>
      </w:r>
      <w:r w:rsidR="004D1028">
        <w:rPr>
          <w:lang w:val="en-US"/>
        </w:rPr>
        <w:t>laborious</w:t>
      </w:r>
      <w:r w:rsidR="008E24CE" w:rsidRPr="1AD5BE2F">
        <w:rPr>
          <w:lang w:val="en-US"/>
        </w:rPr>
        <w:t xml:space="preserve"> and </w:t>
      </w:r>
      <w:r w:rsidR="00611137">
        <w:rPr>
          <w:lang w:val="en-US"/>
        </w:rPr>
        <w:t xml:space="preserve">the </w:t>
      </w:r>
      <w:r w:rsidR="008E24CE" w:rsidRPr="1AD5BE2F">
        <w:rPr>
          <w:lang w:val="en-US"/>
        </w:rPr>
        <w:t>eligibility criteria restrictive.</w:t>
      </w:r>
      <w:r w:rsidR="008E24CE" w:rsidRPr="008E24CE">
        <w:rPr>
          <w:lang w:val="en-US"/>
        </w:rPr>
        <w:t xml:space="preserve"> </w:t>
      </w:r>
      <w:r w:rsidR="008E24CE" w:rsidRPr="1AD5BE2F">
        <w:rPr>
          <w:lang w:val="en-US"/>
        </w:rPr>
        <w:t xml:space="preserve">Furthermore, </w:t>
      </w:r>
      <w:r w:rsidR="004D1028">
        <w:rPr>
          <w:lang w:val="en-US"/>
        </w:rPr>
        <w:t xml:space="preserve">the </w:t>
      </w:r>
      <w:r w:rsidR="00611137">
        <w:rPr>
          <w:lang w:val="en-US"/>
        </w:rPr>
        <w:t xml:space="preserve">allocation </w:t>
      </w:r>
      <w:r w:rsidR="00837064">
        <w:rPr>
          <w:lang w:val="en-US"/>
        </w:rPr>
        <w:t xml:space="preserve">of </w:t>
      </w:r>
      <w:r w:rsidR="004D1028">
        <w:rPr>
          <w:lang w:val="en-US"/>
        </w:rPr>
        <w:t>funding is</w:t>
      </w:r>
      <w:r w:rsidR="008E24CE" w:rsidRPr="1AD5BE2F">
        <w:rPr>
          <w:lang w:val="en-US"/>
        </w:rPr>
        <w:t xml:space="preserve"> not equitable</w:t>
      </w:r>
      <w:r w:rsidR="00B12404">
        <w:rPr>
          <w:lang w:val="en-US"/>
        </w:rPr>
        <w:t xml:space="preserve">. </w:t>
      </w:r>
      <w:r w:rsidR="004D1028">
        <w:rPr>
          <w:lang w:val="en-US"/>
        </w:rPr>
        <w:t xml:space="preserve">These </w:t>
      </w:r>
      <w:r w:rsidR="000521DA">
        <w:rPr>
          <w:lang w:val="en-US"/>
        </w:rPr>
        <w:t xml:space="preserve">inequities </w:t>
      </w:r>
      <w:r w:rsidR="004D1028">
        <w:rPr>
          <w:lang w:val="en-US"/>
        </w:rPr>
        <w:t>are</w:t>
      </w:r>
      <w:r w:rsidR="00C15B5D">
        <w:rPr>
          <w:lang w:val="en-US"/>
        </w:rPr>
        <w:t xml:space="preserve"> </w:t>
      </w:r>
      <w:r w:rsidR="000521DA">
        <w:rPr>
          <w:lang w:val="en-US"/>
        </w:rPr>
        <w:t xml:space="preserve">experienced by </w:t>
      </w:r>
      <w:r w:rsidR="004D1028">
        <w:rPr>
          <w:lang w:val="en-US"/>
        </w:rPr>
        <w:t xml:space="preserve">most disabled people seeking Support </w:t>
      </w:r>
      <w:r w:rsidR="00BE7DA0">
        <w:rPr>
          <w:lang w:val="en-US"/>
        </w:rPr>
        <w:t>Funds,</w:t>
      </w:r>
      <w:r w:rsidR="004D1028">
        <w:rPr>
          <w:lang w:val="en-US"/>
        </w:rPr>
        <w:t xml:space="preserve"> but </w:t>
      </w:r>
      <w:r w:rsidR="000521DA">
        <w:rPr>
          <w:lang w:val="en-US"/>
        </w:rPr>
        <w:t>the</w:t>
      </w:r>
      <w:r w:rsidR="008E24CE" w:rsidRPr="1AD5BE2F">
        <w:rPr>
          <w:lang w:val="en-US"/>
        </w:rPr>
        <w:t xml:space="preserve"> d/Deaf community</w:t>
      </w:r>
      <w:r w:rsidR="004D1028">
        <w:rPr>
          <w:lang w:val="en-US"/>
        </w:rPr>
        <w:t xml:space="preserve"> are affected disproportionately. </w:t>
      </w:r>
    </w:p>
    <w:p w14:paraId="2969E304" w14:textId="1DECC474" w:rsidR="00F95642" w:rsidRDefault="00FB7C70" w:rsidP="00F95642">
      <w:r>
        <w:t>There are many systemic barriers that affect disabled people’s participation in the labour workforce. Contributing to these</w:t>
      </w:r>
      <w:r w:rsidR="004D1028">
        <w:t xml:space="preserve"> barriers</w:t>
      </w:r>
      <w:r>
        <w:t xml:space="preserve"> </w:t>
      </w:r>
      <w:r w:rsidR="00D95F6D">
        <w:t>is the diff</w:t>
      </w:r>
      <w:r>
        <w:t>iculty in accessing and maintaining Support Funds</w:t>
      </w:r>
      <w:r w:rsidR="004D1028">
        <w:t xml:space="preserve">. </w:t>
      </w:r>
      <w:r w:rsidR="00BE7DA0">
        <w:t>Inequities in accessing the funding has</w:t>
      </w:r>
      <w:r>
        <w:t xml:space="preserve"> a negative impact on disabled people’s employment outcomes</w:t>
      </w:r>
      <w:r w:rsidR="00D95F6D">
        <w:t>.</w:t>
      </w:r>
      <w:r w:rsidR="004D1028">
        <w:rPr>
          <w:lang w:val="en-US"/>
        </w:rPr>
        <w:t xml:space="preserve"> </w:t>
      </w:r>
      <w:r w:rsidR="00F95642">
        <w:t>These persistent barriers to disabled people achieving equitable access to the workplace have been further impacted by the Support Funds budget and funding caps not rising in line with cost of living, inflation, and minimum wage</w:t>
      </w:r>
      <w:r w:rsidR="00BE7DA0">
        <w:t>,</w:t>
      </w:r>
      <w:r w:rsidR="00F95642">
        <w:t xml:space="preserve"> along with the impact of population growth on the funding pool available.</w:t>
      </w:r>
    </w:p>
    <w:p w14:paraId="569C91A8" w14:textId="567F673E" w:rsidR="008E24CE" w:rsidRPr="008E24CE" w:rsidRDefault="008E24CE" w:rsidP="00920B97">
      <w:pPr>
        <w:rPr>
          <w:rStyle w:val="CommentReference"/>
          <w:sz w:val="24"/>
          <w:szCs w:val="22"/>
          <w:lang w:val="en-US"/>
        </w:rPr>
      </w:pPr>
      <w:r w:rsidRPr="1AD5BE2F">
        <w:rPr>
          <w:lang w:val="en-US"/>
        </w:rPr>
        <w:t xml:space="preserve">Support Funds </w:t>
      </w:r>
      <w:r w:rsidR="008A4DA4">
        <w:rPr>
          <w:lang w:val="en-US"/>
        </w:rPr>
        <w:t>is a necess</w:t>
      </w:r>
      <w:r w:rsidR="007A1F66">
        <w:rPr>
          <w:lang w:val="en-US"/>
        </w:rPr>
        <w:t xml:space="preserve">ity for </w:t>
      </w:r>
      <w:r w:rsidR="00FB7C70">
        <w:rPr>
          <w:lang w:val="en-US"/>
        </w:rPr>
        <w:t>ma</w:t>
      </w:r>
      <w:r w:rsidR="007A1F66">
        <w:rPr>
          <w:lang w:val="en-US"/>
        </w:rPr>
        <w:t xml:space="preserve">ny disabled people to gain and sustain equitable access to the workplace. </w:t>
      </w:r>
      <w:r w:rsidR="00223BA2">
        <w:rPr>
          <w:lang w:val="en-US"/>
        </w:rPr>
        <w:t xml:space="preserve">From discussions with disabled people about their experiences of accessing these funds, it is apparent that the scheme would benefit from </w:t>
      </w:r>
      <w:r w:rsidRPr="1AD5BE2F">
        <w:rPr>
          <w:lang w:val="en-US"/>
        </w:rPr>
        <w:t>a formal evaluation of its policies and processes</w:t>
      </w:r>
      <w:r w:rsidR="00223BA2">
        <w:rPr>
          <w:lang w:val="en-US"/>
        </w:rPr>
        <w:t xml:space="preserve"> that is</w:t>
      </w:r>
      <w:r w:rsidRPr="1AD5BE2F">
        <w:rPr>
          <w:lang w:val="en-US"/>
        </w:rPr>
        <w:t xml:space="preserve"> led by disabled people, </w:t>
      </w:r>
      <w:r w:rsidR="00223BA2">
        <w:rPr>
          <w:lang w:val="en-US"/>
        </w:rPr>
        <w:t>who can best</w:t>
      </w:r>
      <w:r w:rsidR="00663DF7">
        <w:rPr>
          <w:lang w:val="en-US"/>
        </w:rPr>
        <w:t xml:space="preserve"> </w:t>
      </w:r>
      <w:r w:rsidRPr="1AD5BE2F">
        <w:rPr>
          <w:lang w:val="en-US"/>
        </w:rPr>
        <w:t>ensur</w:t>
      </w:r>
      <w:r w:rsidR="00663DF7">
        <w:rPr>
          <w:lang w:val="en-US"/>
        </w:rPr>
        <w:t>e</w:t>
      </w:r>
      <w:r w:rsidRPr="1AD5BE2F">
        <w:rPr>
          <w:lang w:val="en-US"/>
        </w:rPr>
        <w:t xml:space="preserve"> that any future</w:t>
      </w:r>
      <w:r w:rsidR="00663DF7">
        <w:rPr>
          <w:lang w:val="en-US"/>
        </w:rPr>
        <w:t xml:space="preserve"> iteration of the</w:t>
      </w:r>
      <w:r w:rsidRPr="1AD5BE2F">
        <w:rPr>
          <w:lang w:val="en-US"/>
        </w:rPr>
        <w:t xml:space="preserve"> scheme </w:t>
      </w:r>
      <w:r w:rsidR="00BE7DA0">
        <w:rPr>
          <w:lang w:val="en-US"/>
        </w:rPr>
        <w:t xml:space="preserve">is </w:t>
      </w:r>
      <w:r w:rsidR="00FB7C70">
        <w:rPr>
          <w:lang w:val="en-US"/>
        </w:rPr>
        <w:t xml:space="preserve">fit for purpose and </w:t>
      </w:r>
      <w:r w:rsidR="00FB7C70" w:rsidRPr="1AD5BE2F">
        <w:rPr>
          <w:lang w:val="en-US"/>
        </w:rPr>
        <w:t>align</w:t>
      </w:r>
      <w:r w:rsidR="00BE7DA0">
        <w:rPr>
          <w:lang w:val="en-US"/>
        </w:rPr>
        <w:t>s</w:t>
      </w:r>
      <w:r w:rsidR="00FB7C70" w:rsidRPr="1AD5BE2F">
        <w:rPr>
          <w:lang w:val="en-US"/>
        </w:rPr>
        <w:t xml:space="preserve"> </w:t>
      </w:r>
      <w:r w:rsidR="00FB7C70">
        <w:rPr>
          <w:lang w:val="en-US"/>
        </w:rPr>
        <w:t xml:space="preserve">with the </w:t>
      </w:r>
      <w:r w:rsidR="00FB7C70" w:rsidRPr="1AD5BE2F">
        <w:rPr>
          <w:lang w:val="en-US"/>
        </w:rPr>
        <w:t xml:space="preserve">Enabling Good Lives </w:t>
      </w:r>
      <w:r w:rsidR="00BE7DA0">
        <w:rPr>
          <w:lang w:val="en-US"/>
        </w:rPr>
        <w:t>approach</w:t>
      </w:r>
      <w:r w:rsidR="00FB7C70" w:rsidRPr="1AD5BE2F">
        <w:rPr>
          <w:lang w:val="en-US"/>
        </w:rPr>
        <w:t xml:space="preserve"> and principles.</w:t>
      </w:r>
    </w:p>
    <w:p w14:paraId="0BC2BD78" w14:textId="77777777" w:rsidR="000A5EEE" w:rsidRDefault="000A5EEE" w:rsidP="00920B97"/>
    <w:p w14:paraId="1001073E" w14:textId="77777777" w:rsidR="00EC55D5" w:rsidRDefault="00EC55D5">
      <w:pPr>
        <w:spacing w:after="160" w:line="259" w:lineRule="auto"/>
        <w:rPr>
          <w:rFonts w:eastAsiaTheme="majorEastAsia" w:cstheme="majorBidi"/>
          <w:color w:val="29797F"/>
          <w:sz w:val="72"/>
          <w:szCs w:val="32"/>
        </w:rPr>
      </w:pPr>
      <w:r>
        <w:br w:type="page"/>
      </w:r>
    </w:p>
    <w:p w14:paraId="24B8E04B" w14:textId="6C5EE841" w:rsidR="002515F8" w:rsidRDefault="00F5530B" w:rsidP="002515F8">
      <w:pPr>
        <w:pStyle w:val="Heading1"/>
      </w:pPr>
      <w:bookmarkStart w:id="174" w:name="_Toc133076270"/>
      <w:r>
        <w:lastRenderedPageBreak/>
        <w:t>Recommendations</w:t>
      </w:r>
      <w:bookmarkEnd w:id="174"/>
    </w:p>
    <w:p w14:paraId="2FA80273" w14:textId="2BBA04CC" w:rsidR="00646890" w:rsidRDefault="00031644" w:rsidP="0062043F">
      <w:bookmarkStart w:id="175" w:name="_Toc106639994"/>
      <w:bookmarkEnd w:id="162"/>
      <w:bookmarkEnd w:id="163"/>
      <w:bookmarkEnd w:id="164"/>
      <w:bookmarkEnd w:id="165"/>
      <w:bookmarkEnd w:id="166"/>
      <w:bookmarkEnd w:id="167"/>
      <w:bookmarkEnd w:id="168"/>
      <w:bookmarkEnd w:id="169"/>
      <w:bookmarkEnd w:id="170"/>
      <w:bookmarkEnd w:id="171"/>
      <w:r>
        <w:t xml:space="preserve">Despite a continued need for </w:t>
      </w:r>
      <w:r w:rsidR="00920B97">
        <w:t>Support Funds</w:t>
      </w:r>
      <w:r w:rsidR="00996FCB">
        <w:t xml:space="preserve"> by many disabled people</w:t>
      </w:r>
      <w:r>
        <w:t>, barriers to accessing and maintain</w:t>
      </w:r>
      <w:r w:rsidR="00996FCB">
        <w:t>ing</w:t>
      </w:r>
      <w:r>
        <w:t xml:space="preserve"> </w:t>
      </w:r>
      <w:r w:rsidR="00996FCB">
        <w:t>employment suppor</w:t>
      </w:r>
      <w:r w:rsidR="001B2093">
        <w:t xml:space="preserve">t appears to be contributing to negative employment outcomes </w:t>
      </w:r>
      <w:r w:rsidR="00BE5C68">
        <w:t xml:space="preserve">and career opportunities </w:t>
      </w:r>
      <w:r w:rsidR="001B2093">
        <w:t>for many disabled people.</w:t>
      </w:r>
      <w:bookmarkEnd w:id="175"/>
      <w:r w:rsidR="00646890">
        <w:t xml:space="preserve"> </w:t>
      </w:r>
    </w:p>
    <w:p w14:paraId="58C822D8" w14:textId="3061B6A1" w:rsidR="00136950" w:rsidRPr="00646890" w:rsidRDefault="00136950" w:rsidP="00E12939">
      <w:r>
        <w:t xml:space="preserve">It is </w:t>
      </w:r>
      <w:r w:rsidR="007174AF">
        <w:t xml:space="preserve">therefore </w:t>
      </w:r>
      <w:r>
        <w:t>strongly recommended that the</w:t>
      </w:r>
      <w:r w:rsidR="007174AF">
        <w:t xml:space="preserve"> </w:t>
      </w:r>
      <w:r>
        <w:t>Ministry:</w:t>
      </w:r>
    </w:p>
    <w:p w14:paraId="3EAB2C4F" w14:textId="29B8EFF6" w:rsidR="00BE7DA0" w:rsidRDefault="00BE7DA0" w:rsidP="0062043F">
      <w:pPr>
        <w:pStyle w:val="ListParagraph"/>
        <w:numPr>
          <w:ilvl w:val="0"/>
          <w:numId w:val="27"/>
        </w:numPr>
      </w:pPr>
      <w:r>
        <w:t xml:space="preserve">increase the maximum Job Support </w:t>
      </w:r>
      <w:r w:rsidR="00E12939">
        <w:t>f</w:t>
      </w:r>
      <w:r>
        <w:t>unding amount in line with inflation, living wage and cost of living;</w:t>
      </w:r>
    </w:p>
    <w:p w14:paraId="7ECBDF56" w14:textId="1E68D5BF" w:rsidR="00E12939" w:rsidRDefault="00E12939" w:rsidP="00E12939">
      <w:pPr>
        <w:pStyle w:val="ListParagraph"/>
        <w:numPr>
          <w:ilvl w:val="0"/>
          <w:numId w:val="27"/>
        </w:numPr>
      </w:pPr>
      <w:r>
        <w:t>increase the maximum Training Support funding amount in line with inflation, living wage and cost of living and review the period of time it covers;</w:t>
      </w:r>
    </w:p>
    <w:p w14:paraId="47CF996E" w14:textId="77777777" w:rsidR="00BE7DA0" w:rsidRDefault="00BE7DA0" w:rsidP="0062043F">
      <w:pPr>
        <w:pStyle w:val="ListParagraph"/>
        <w:numPr>
          <w:ilvl w:val="0"/>
          <w:numId w:val="27"/>
        </w:numPr>
      </w:pPr>
      <w:r>
        <w:t>increase the Support Funds budget in line with inflation, living wage, cost of living, and population increase;</w:t>
      </w:r>
    </w:p>
    <w:p w14:paraId="023DFCC9" w14:textId="77777777" w:rsidR="00BE7DA0" w:rsidRDefault="00BE7DA0" w:rsidP="0062043F">
      <w:pPr>
        <w:pStyle w:val="ListParagraph"/>
        <w:numPr>
          <w:ilvl w:val="0"/>
          <w:numId w:val="27"/>
        </w:numPr>
      </w:pPr>
      <w:r>
        <w:t>review the Support Funds eligibility criteria and application process, in collaboration with disabled people;</w:t>
      </w:r>
    </w:p>
    <w:p w14:paraId="1F176D1C" w14:textId="77777777" w:rsidR="00BE7DA0" w:rsidRDefault="00BE7DA0" w:rsidP="0062043F">
      <w:pPr>
        <w:pStyle w:val="ListParagraph"/>
        <w:numPr>
          <w:ilvl w:val="0"/>
          <w:numId w:val="27"/>
        </w:numPr>
      </w:pPr>
      <w:r>
        <w:t>expand eligibility criteria and streamline processes to make accessing funds more accessible for all disabled people, in particular those who are self-employed or consulting;</w:t>
      </w:r>
    </w:p>
    <w:p w14:paraId="60C18697" w14:textId="77777777" w:rsidR="00BE7DA0" w:rsidRDefault="00BE7DA0" w:rsidP="0062043F">
      <w:pPr>
        <w:pStyle w:val="ListParagraph"/>
        <w:numPr>
          <w:ilvl w:val="0"/>
          <w:numId w:val="27"/>
        </w:numPr>
      </w:pPr>
      <w:r>
        <w:t>raise awareness about function and availability of Support Funds with disabled people and employers;</w:t>
      </w:r>
    </w:p>
    <w:p w14:paraId="50CAE9A2" w14:textId="77777777" w:rsidR="0062043F" w:rsidRPr="00EB1BF4" w:rsidRDefault="0062043F" w:rsidP="0062043F">
      <w:pPr>
        <w:pStyle w:val="ListParagraph"/>
        <w:numPr>
          <w:ilvl w:val="0"/>
          <w:numId w:val="27"/>
        </w:numPr>
      </w:pPr>
      <w:r w:rsidRPr="00EB1BF4">
        <w:t>review the application of</w:t>
      </w:r>
      <w:r>
        <w:t xml:space="preserve"> the</w:t>
      </w:r>
      <w:r w:rsidRPr="00EB1BF4">
        <w:t xml:space="preserve"> ‘fund of last resort’ criteria</w:t>
      </w:r>
      <w:r>
        <w:t>;</w:t>
      </w:r>
    </w:p>
    <w:p w14:paraId="1371C29F" w14:textId="77777777" w:rsidR="0062043F" w:rsidRDefault="0062043F" w:rsidP="0062043F">
      <w:pPr>
        <w:pStyle w:val="ListParagraph"/>
        <w:numPr>
          <w:ilvl w:val="0"/>
          <w:numId w:val="27"/>
        </w:numPr>
      </w:pPr>
      <w:r>
        <w:t>clarify</w:t>
      </w:r>
      <w:r w:rsidRPr="00EB1BF4">
        <w:t xml:space="preserve"> the term ‘reasonable accommodations</w:t>
      </w:r>
      <w:r>
        <w:t>’ to provide clearer expectations for employers;</w:t>
      </w:r>
    </w:p>
    <w:p w14:paraId="3FD332ED" w14:textId="5B2086F9" w:rsidR="0062043F" w:rsidRPr="002D4799" w:rsidRDefault="0062043F" w:rsidP="0062043F">
      <w:pPr>
        <w:pStyle w:val="ListParagraph"/>
        <w:numPr>
          <w:ilvl w:val="0"/>
          <w:numId w:val="27"/>
        </w:numPr>
      </w:pPr>
      <w:r>
        <w:t xml:space="preserve">establish </w:t>
      </w:r>
      <w:r w:rsidRPr="002D4799">
        <w:t xml:space="preserve">review panels made up of disabled people, as is the case </w:t>
      </w:r>
      <w:r>
        <w:t>with</w:t>
      </w:r>
      <w:r w:rsidRPr="002D4799">
        <w:t xml:space="preserve"> E</w:t>
      </w:r>
      <w:r>
        <w:t>nabling Good Lives</w:t>
      </w:r>
      <w:r w:rsidRPr="002D4799">
        <w:t>;</w:t>
      </w:r>
      <w:r>
        <w:t xml:space="preserve"> and</w:t>
      </w:r>
    </w:p>
    <w:p w14:paraId="7B554145" w14:textId="7BD8E12E" w:rsidR="00BE7DA0" w:rsidRDefault="00BE7DA0" w:rsidP="0062043F">
      <w:pPr>
        <w:pStyle w:val="ListParagraph"/>
        <w:numPr>
          <w:ilvl w:val="0"/>
          <w:numId w:val="27"/>
        </w:numPr>
      </w:pPr>
      <w:r>
        <w:t>undertake a formal external evaluation of Support Funds policies and processes, ensuring that this is disabled-led</w:t>
      </w:r>
      <w:r w:rsidR="0062043F">
        <w:t>.</w:t>
      </w:r>
    </w:p>
    <w:p w14:paraId="39A67C6A" w14:textId="77777777" w:rsidR="00136950" w:rsidRDefault="00136950">
      <w:pPr>
        <w:spacing w:after="160" w:line="259" w:lineRule="auto"/>
        <w:rPr>
          <w:rFonts w:eastAsiaTheme="majorEastAsia" w:cstheme="majorBidi"/>
          <w:color w:val="5EC3CB"/>
          <w:sz w:val="72"/>
          <w:szCs w:val="32"/>
        </w:rPr>
      </w:pPr>
      <w:r>
        <w:br w:type="page"/>
      </w:r>
    </w:p>
    <w:p w14:paraId="7E3FE8B3" w14:textId="77777777" w:rsidR="0040316C" w:rsidRDefault="0040316C" w:rsidP="00D32EED">
      <w:pPr>
        <w:pStyle w:val="Heading1"/>
      </w:pPr>
      <w:bookmarkStart w:id="176" w:name="_Toc133076271"/>
      <w:r>
        <w:rPr>
          <w:lang w:val="en-US"/>
        </w:rPr>
        <w:lastRenderedPageBreak/>
        <w:t>Appendices</w:t>
      </w:r>
      <w:bookmarkEnd w:id="176"/>
      <w:r>
        <w:t xml:space="preserve"> </w:t>
      </w:r>
    </w:p>
    <w:p w14:paraId="611AF3D4" w14:textId="36C8E357" w:rsidR="0040316C" w:rsidRDefault="0040316C" w:rsidP="0040316C">
      <w:pPr>
        <w:pStyle w:val="Heading2"/>
      </w:pPr>
      <w:bookmarkStart w:id="177" w:name="_Toc133076272"/>
      <w:r>
        <w:t>Appendix A</w:t>
      </w:r>
      <w:r w:rsidR="00746E64">
        <w:t xml:space="preserve">: MSD </w:t>
      </w:r>
      <w:r w:rsidR="00471D48">
        <w:t>s</w:t>
      </w:r>
      <w:r w:rsidR="00746E64">
        <w:t>upport</w:t>
      </w:r>
      <w:r w:rsidR="005953F2">
        <w:t xml:space="preserve"> </w:t>
      </w:r>
      <w:r w:rsidR="00471D48">
        <w:t>a</w:t>
      </w:r>
      <w:r w:rsidR="005953F2">
        <w:t>vailable</w:t>
      </w:r>
      <w:bookmarkEnd w:id="177"/>
    </w:p>
    <w:p w14:paraId="6208E960" w14:textId="4F1F4FF5" w:rsidR="0040316C" w:rsidRDefault="0040316C" w:rsidP="0040316C">
      <w:pPr>
        <w:pStyle w:val="Heading3"/>
      </w:pPr>
      <w:bookmarkStart w:id="178" w:name="_Toc132376335"/>
      <w:bookmarkStart w:id="179" w:name="_Toc132379381"/>
      <w:bookmarkStart w:id="180" w:name="_Toc132380314"/>
      <w:bookmarkStart w:id="181" w:name="_Toc132380456"/>
      <w:bookmarkStart w:id="182" w:name="_Toc132543850"/>
      <w:bookmarkStart w:id="183" w:name="_Toc132558494"/>
      <w:bookmarkStart w:id="184" w:name="_Toc132558588"/>
      <w:bookmarkStart w:id="185" w:name="_Toc132559827"/>
      <w:bookmarkStart w:id="186" w:name="_Toc132562504"/>
      <w:bookmarkStart w:id="187" w:name="_Toc132563973"/>
      <w:bookmarkStart w:id="188" w:name="_Toc132711180"/>
      <w:bookmarkStart w:id="189" w:name="_Toc132714494"/>
      <w:bookmarkStart w:id="190" w:name="_Toc132717608"/>
      <w:bookmarkStart w:id="191" w:name="_Toc132718381"/>
      <w:bookmarkStart w:id="192" w:name="_Toc132718609"/>
      <w:bookmarkStart w:id="193" w:name="_Toc132758424"/>
      <w:bookmarkStart w:id="194" w:name="_Toc132758481"/>
      <w:bookmarkStart w:id="195" w:name="_Toc132759125"/>
      <w:bookmarkStart w:id="196" w:name="_Toc132799742"/>
      <w:bookmarkStart w:id="197" w:name="_Toc132799915"/>
      <w:bookmarkStart w:id="198" w:name="_Toc132813279"/>
      <w:bookmarkStart w:id="199" w:name="_Toc132814815"/>
      <w:bookmarkStart w:id="200" w:name="_Toc132816170"/>
      <w:bookmarkStart w:id="201" w:name="_Toc133076273"/>
      <w:r>
        <w:t xml:space="preserve">Support Fund </w:t>
      </w:r>
      <w:r w:rsidR="00471D48">
        <w:t>a</w:t>
      </w:r>
      <w:r w:rsidRPr="00F4058A">
        <w:t>ssistance</w:t>
      </w:r>
      <w:r>
        <w:t xml:space="preserve"> </w:t>
      </w:r>
      <w:r w:rsidR="00471D48">
        <w:t>c</w:t>
      </w:r>
      <w:r>
        <w:t>ategories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AEDEE28" w14:textId="77777777" w:rsidR="0040316C" w:rsidRPr="0077543F" w:rsidRDefault="0040316C" w:rsidP="0040316C">
      <w:r>
        <w:t xml:space="preserve">Support assistance categories include funding for equipment, interpreter services, a support person, transport, a job coach, and workplace assessments. </w:t>
      </w:r>
    </w:p>
    <w:p w14:paraId="64D625AF" w14:textId="77777777" w:rsidR="0040316C" w:rsidRPr="00C851C3" w:rsidRDefault="0040316C" w:rsidP="0040316C">
      <w:pPr>
        <w:pStyle w:val="Heading4"/>
      </w:pPr>
      <w:r w:rsidRPr="00C851C3">
        <w:t xml:space="preserve">Equipment </w:t>
      </w:r>
    </w:p>
    <w:p w14:paraId="06708A69" w14:textId="77777777" w:rsidR="0040316C" w:rsidRDefault="0040316C" w:rsidP="0040316C">
      <w:r>
        <w:t>Funding for equipment may include specialist office furniture or adaptive software, which an employer would not normally provide. In some cases, only part of the cost may be funded, with the remainder being paid by you or your employer. Maintenance and repairs are not covered by the fund.</w:t>
      </w:r>
    </w:p>
    <w:p w14:paraId="267A9DD6" w14:textId="4D8CF871" w:rsidR="0040316C" w:rsidRPr="00F4058A" w:rsidRDefault="0040316C" w:rsidP="0040316C">
      <w:pPr>
        <w:pStyle w:val="Heading4"/>
      </w:pPr>
      <w:r>
        <w:t xml:space="preserve">Interpreter </w:t>
      </w:r>
      <w:r w:rsidR="00471D48">
        <w:t>s</w:t>
      </w:r>
      <w:r w:rsidRPr="00C851C3">
        <w:t>ervices</w:t>
      </w:r>
    </w:p>
    <w:p w14:paraId="4905DD5A" w14:textId="77777777" w:rsidR="0040316C" w:rsidRDefault="0040316C" w:rsidP="0040316C">
      <w:r>
        <w:t>Funding for NZSL interpreter</w:t>
      </w:r>
      <w:r w:rsidRPr="00E06446">
        <w:t xml:space="preserve"> </w:t>
      </w:r>
      <w:r>
        <w:t>services may include having an NZSL interpreter for job interviews, however other avenues must be advanced first, e.g. the use of NZ Relay. Funding for transcribers also comes under this category, despite not technically being an interpreter service.</w:t>
      </w:r>
    </w:p>
    <w:p w14:paraId="0109B1E5" w14:textId="5EB3E54B" w:rsidR="0040316C" w:rsidRDefault="0040316C" w:rsidP="0040316C">
      <w:pPr>
        <w:pStyle w:val="Heading4"/>
      </w:pPr>
      <w:r>
        <w:t xml:space="preserve">Support </w:t>
      </w:r>
      <w:r w:rsidR="00471D48">
        <w:t>p</w:t>
      </w:r>
      <w:r w:rsidRPr="00F4058A">
        <w:t>erson</w:t>
      </w:r>
      <w:r>
        <w:t xml:space="preserve"> </w:t>
      </w:r>
    </w:p>
    <w:p w14:paraId="6BFA5CC1" w14:textId="77777777" w:rsidR="0040316C" w:rsidRDefault="0040316C" w:rsidP="0040316C">
      <w:r>
        <w:t>Funding for a support person is available for instances when you need a person to assist you in tasks, e.g. a reader, writer, or driver. Support people must be independent contractors contracted by the person receiving Support Funds. They cannot be employees of Support Funds, Workbridge or MSD. A support person providing driving support must hold a drivers licence and their vehicle must meet the requirements of NZTA.</w:t>
      </w:r>
    </w:p>
    <w:p w14:paraId="7EC54BA6" w14:textId="77777777" w:rsidR="0040316C" w:rsidRDefault="0040316C" w:rsidP="0040316C">
      <w:pPr>
        <w:pStyle w:val="Heading4"/>
      </w:pPr>
      <w:r w:rsidRPr="00F4058A">
        <w:t>Transport</w:t>
      </w:r>
    </w:p>
    <w:p w14:paraId="71F42E7D" w14:textId="77777777" w:rsidR="0040316C" w:rsidRDefault="0040316C" w:rsidP="0040316C">
      <w:r>
        <w:t xml:space="preserve">Funding for transport is available for travelling to and from your place of work or study when public transport is not available or accessible. The standard cost of travel for your journey, e.g. the cost of the bus trip, is deducted from any funds paid to you. </w:t>
      </w:r>
    </w:p>
    <w:p w14:paraId="3FA8761C" w14:textId="0E397245" w:rsidR="0040316C" w:rsidRDefault="0040316C" w:rsidP="0040316C">
      <w:pPr>
        <w:pStyle w:val="Heading4"/>
      </w:pPr>
      <w:r>
        <w:lastRenderedPageBreak/>
        <w:t xml:space="preserve">Job </w:t>
      </w:r>
      <w:r w:rsidR="00471D48">
        <w:t>c</w:t>
      </w:r>
      <w:r w:rsidRPr="00F4058A">
        <w:t>oach</w:t>
      </w:r>
    </w:p>
    <w:p w14:paraId="3CC7DE06" w14:textId="77777777" w:rsidR="0040316C" w:rsidRDefault="0040316C" w:rsidP="0040316C">
      <w:r>
        <w:t>Funding for a job coach provides the opportunity for intensive short-term coaching when you start work, when your job description has changed, or if a change in your disability affects your ability to perform your usual employment tasks. Job coaches must be independent contractors. You may need to have a workplace assessment to gain access to a job coach.</w:t>
      </w:r>
    </w:p>
    <w:p w14:paraId="5A9D5B74" w14:textId="77777777" w:rsidR="0040316C" w:rsidRDefault="0040316C" w:rsidP="0040316C">
      <w:pPr>
        <w:pStyle w:val="Heading4"/>
      </w:pPr>
      <w:bookmarkStart w:id="202" w:name="_Toc106198802"/>
      <w:bookmarkStart w:id="203" w:name="_Toc106351790"/>
      <w:bookmarkStart w:id="204" w:name="_Toc106353123"/>
      <w:bookmarkStart w:id="205" w:name="_Toc106381548"/>
      <w:bookmarkStart w:id="206" w:name="_Toc106639953"/>
      <w:bookmarkStart w:id="207" w:name="_Toc107500730"/>
      <w:bookmarkStart w:id="208" w:name="_Toc107502725"/>
      <w:bookmarkStart w:id="209" w:name="_Toc108022100"/>
      <w:r w:rsidRPr="00F4058A">
        <w:t>Assessment</w:t>
      </w:r>
    </w:p>
    <w:p w14:paraId="61CA51B9" w14:textId="77777777" w:rsidR="0040316C" w:rsidRDefault="0040316C" w:rsidP="0040316C">
      <w:r>
        <w:t>Funding for workplace assessments is used to determine that the most appropriate support is being funded, e.g. those listed above. An assessment can be undertaken at the request of MSD, Workbridge, the applicant, or the applicant’s agent. Assessments cannot be used for obtaining a diagnosis.</w:t>
      </w:r>
    </w:p>
    <w:p w14:paraId="29AE0538" w14:textId="06E396B8" w:rsidR="0040316C" w:rsidRDefault="0040316C" w:rsidP="0040316C">
      <w:pPr>
        <w:pStyle w:val="Heading3"/>
      </w:pPr>
      <w:bookmarkStart w:id="210" w:name="_Toc106198803"/>
      <w:bookmarkStart w:id="211" w:name="_Toc106351791"/>
      <w:bookmarkStart w:id="212" w:name="_Toc106353124"/>
      <w:bookmarkStart w:id="213" w:name="_Toc106381549"/>
      <w:bookmarkStart w:id="214" w:name="_Toc106639954"/>
      <w:bookmarkStart w:id="215" w:name="_Toc107500731"/>
      <w:bookmarkStart w:id="216" w:name="_Toc107502726"/>
      <w:bookmarkStart w:id="217" w:name="_Toc108022101"/>
      <w:bookmarkStart w:id="218" w:name="_Toc132376336"/>
      <w:bookmarkStart w:id="219" w:name="_Toc132379382"/>
      <w:bookmarkStart w:id="220" w:name="_Toc132380315"/>
      <w:bookmarkStart w:id="221" w:name="_Toc132380457"/>
      <w:bookmarkStart w:id="222" w:name="_Toc132543851"/>
      <w:bookmarkStart w:id="223" w:name="_Toc132558495"/>
      <w:bookmarkStart w:id="224" w:name="_Toc132558589"/>
      <w:bookmarkStart w:id="225" w:name="_Toc132559828"/>
      <w:bookmarkStart w:id="226" w:name="_Toc132562505"/>
      <w:bookmarkStart w:id="227" w:name="_Toc132563974"/>
      <w:bookmarkStart w:id="228" w:name="_Toc132711181"/>
      <w:bookmarkStart w:id="229" w:name="_Toc132714495"/>
      <w:bookmarkStart w:id="230" w:name="_Toc132717609"/>
      <w:bookmarkStart w:id="231" w:name="_Toc132718382"/>
      <w:bookmarkStart w:id="232" w:name="_Toc132718610"/>
      <w:bookmarkStart w:id="233" w:name="_Toc132758425"/>
      <w:bookmarkStart w:id="234" w:name="_Toc132758482"/>
      <w:bookmarkStart w:id="235" w:name="_Toc132759126"/>
      <w:bookmarkStart w:id="236" w:name="_Toc132799743"/>
      <w:bookmarkStart w:id="237" w:name="_Toc132799916"/>
      <w:bookmarkStart w:id="238" w:name="_Toc132813280"/>
      <w:bookmarkStart w:id="239" w:name="_Toc132814816"/>
      <w:bookmarkStart w:id="240" w:name="_Toc132816171"/>
      <w:bookmarkStart w:id="241" w:name="_Toc133076274"/>
      <w:bookmarkEnd w:id="202"/>
      <w:bookmarkEnd w:id="203"/>
      <w:bookmarkEnd w:id="204"/>
      <w:bookmarkEnd w:id="205"/>
      <w:bookmarkEnd w:id="206"/>
      <w:bookmarkEnd w:id="207"/>
      <w:bookmarkEnd w:id="208"/>
      <w:bookmarkEnd w:id="209"/>
      <w:r w:rsidRPr="00172243">
        <w:t>Modification</w:t>
      </w:r>
      <w:r>
        <w:t xml:space="preserve"> </w:t>
      </w:r>
      <w:r w:rsidR="00471D48">
        <w:t>g</w:t>
      </w:r>
      <w:r>
        <w:t>rant</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369FCC1" w14:textId="626A3AFE" w:rsidR="0040316C" w:rsidRDefault="0040316C" w:rsidP="0040316C">
      <w:r>
        <w:t>Funding for modifications</w:t>
      </w:r>
      <w:r>
        <w:rPr>
          <w:rStyle w:val="EndnoteReference"/>
        </w:rPr>
        <w:endnoteReference w:id="36"/>
      </w:r>
      <w:r>
        <w:t xml:space="preserve"> are administered by Work and Income New Zealand (WINZ). They provide financial assistance to disabled people to gain or retain employment by removing barriers. These grants are paid to the employer to fund modifications to the workplace, such as ramps and handrails, purchase of specialised equipment necessary to take up or retain work, and adaptation of equipment. In these cases, the equipment would remain with the employer should the employee leave.</w:t>
      </w:r>
      <w:r w:rsidR="0062043F">
        <w:t xml:space="preserve"> </w:t>
      </w:r>
      <w:r>
        <w:t>Support Funds cannot be used for modifications where the responsibility for the modification lies with the building owner under government or local council laws, regulations, or requirements.</w:t>
      </w:r>
    </w:p>
    <w:p w14:paraId="141239D4" w14:textId="77777777" w:rsidR="0040316C" w:rsidRDefault="0040316C" w:rsidP="0040316C">
      <w:pPr>
        <w:pStyle w:val="Heading3"/>
      </w:pPr>
      <w:bookmarkStart w:id="242" w:name="_Toc132376337"/>
      <w:bookmarkStart w:id="243" w:name="_Toc132379383"/>
      <w:bookmarkStart w:id="244" w:name="_Toc132380316"/>
      <w:bookmarkStart w:id="245" w:name="_Toc132380458"/>
      <w:bookmarkStart w:id="246" w:name="_Toc132543852"/>
      <w:bookmarkStart w:id="247" w:name="_Toc132558496"/>
      <w:bookmarkStart w:id="248" w:name="_Toc132558590"/>
      <w:bookmarkStart w:id="249" w:name="_Toc132559829"/>
      <w:bookmarkStart w:id="250" w:name="_Toc132562506"/>
      <w:bookmarkStart w:id="251" w:name="_Toc132563975"/>
      <w:bookmarkStart w:id="252" w:name="_Toc132711182"/>
      <w:bookmarkStart w:id="253" w:name="_Toc132714496"/>
      <w:bookmarkStart w:id="254" w:name="_Toc132717610"/>
      <w:bookmarkStart w:id="255" w:name="_Toc132718383"/>
      <w:bookmarkStart w:id="256" w:name="_Toc132718611"/>
      <w:bookmarkStart w:id="257" w:name="_Toc132758426"/>
      <w:bookmarkStart w:id="258" w:name="_Toc132758483"/>
      <w:bookmarkStart w:id="259" w:name="_Toc132759127"/>
      <w:bookmarkStart w:id="260" w:name="_Toc132799744"/>
      <w:bookmarkStart w:id="261" w:name="_Toc132799917"/>
      <w:bookmarkStart w:id="262" w:name="_Toc132813281"/>
      <w:bookmarkStart w:id="263" w:name="_Toc132814817"/>
      <w:bookmarkStart w:id="264" w:name="_Toc132816172"/>
      <w:bookmarkStart w:id="265" w:name="_Toc133076275"/>
      <w:r>
        <w:t>MSD programmes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A4138F5" w14:textId="77777777" w:rsidR="0040316C" w:rsidRDefault="0040316C" w:rsidP="0040316C">
      <w:pPr>
        <w:pStyle w:val="Heading4"/>
      </w:pPr>
      <w:r>
        <w:t>Mainstream</w:t>
      </w:r>
    </w:p>
    <w:p w14:paraId="60AE9413" w14:textId="7C06FCF4" w:rsidR="0040316C" w:rsidRDefault="0040316C" w:rsidP="0062043F">
      <w:r>
        <w:t>Mainstream</w:t>
      </w:r>
      <w:r>
        <w:rPr>
          <w:rStyle w:val="EndnoteReference"/>
        </w:rPr>
        <w:endnoteReference w:id="37"/>
      </w:r>
      <w:r w:rsidRPr="00536998">
        <w:t xml:space="preserve"> can help you get into paid work and support you towards getting a long-term job.</w:t>
      </w:r>
      <w:r w:rsidRPr="000F47FA">
        <w:t xml:space="preserve"> </w:t>
      </w:r>
      <w:r>
        <w:t>You may also get h</w:t>
      </w:r>
      <w:r w:rsidRPr="000F47FA">
        <w:t>elp with extra training or equipment costs related to your disability and job.</w:t>
      </w:r>
      <w:r w:rsidR="0062043F">
        <w:t xml:space="preserve"> </w:t>
      </w:r>
      <w:r>
        <w:t>An Employment Service provider works with you to find or create a role that suits your skills. Once you're in a role, MSD pays your employer:</w:t>
      </w:r>
    </w:p>
    <w:p w14:paraId="24737E16" w14:textId="77777777" w:rsidR="0040316C" w:rsidRDefault="0040316C">
      <w:pPr>
        <w:pStyle w:val="ListParagraph"/>
        <w:numPr>
          <w:ilvl w:val="0"/>
          <w:numId w:val="10"/>
        </w:numPr>
      </w:pPr>
      <w:r>
        <w:t>80% of your wages for the first six months; and</w:t>
      </w:r>
    </w:p>
    <w:p w14:paraId="7DB8DC05" w14:textId="77777777" w:rsidR="0040316C" w:rsidRPr="0006681A" w:rsidRDefault="0040316C">
      <w:pPr>
        <w:pStyle w:val="ListParagraph"/>
        <w:numPr>
          <w:ilvl w:val="0"/>
          <w:numId w:val="10"/>
        </w:numPr>
      </w:pPr>
      <w:r>
        <w:t>50% of your wages for the last six months.</w:t>
      </w:r>
    </w:p>
    <w:p w14:paraId="37DD9757" w14:textId="77777777" w:rsidR="0040316C" w:rsidRDefault="0040316C" w:rsidP="0040316C">
      <w:pPr>
        <w:pStyle w:val="Heading4"/>
      </w:pPr>
      <w:r>
        <w:lastRenderedPageBreak/>
        <w:t>Mani in Mahi</w:t>
      </w:r>
    </w:p>
    <w:p w14:paraId="4B03B142" w14:textId="77777777" w:rsidR="0040316C" w:rsidRDefault="0040316C" w:rsidP="0040316C">
      <w:r w:rsidRPr="007A6566">
        <w:t>Mana in Mahi</w:t>
      </w:r>
      <w:r>
        <w:rPr>
          <w:rStyle w:val="EndnoteReference"/>
        </w:rPr>
        <w:endnoteReference w:id="38"/>
      </w:r>
      <w:r w:rsidRPr="007A6566">
        <w:t xml:space="preserve"> matches employers with people who are keen to start a career and need extra support to begin and maintain their work and training journey.</w:t>
      </w:r>
      <w:r>
        <w:t xml:space="preserve"> Work and Income NZ will pay your employer a wage subsidy and your employer can also access coaching and funding for you to pursue formal industry training while on the job.</w:t>
      </w:r>
    </w:p>
    <w:p w14:paraId="67B403D8" w14:textId="77777777" w:rsidR="0040316C" w:rsidRDefault="0040316C" w:rsidP="0040316C">
      <w:pPr>
        <w:pStyle w:val="Heading4"/>
      </w:pPr>
      <w:r>
        <w:t>Flexi-wage</w:t>
      </w:r>
    </w:p>
    <w:p w14:paraId="000471A1" w14:textId="77777777" w:rsidR="0040316C" w:rsidRDefault="0040316C" w:rsidP="0040316C">
      <w:pPr>
        <w:tabs>
          <w:tab w:val="left" w:pos="4820"/>
        </w:tabs>
        <w:rPr>
          <w:rFonts w:cs="Arial"/>
        </w:rPr>
      </w:pPr>
      <w:r w:rsidRPr="0056293C">
        <w:rPr>
          <w:rFonts w:cs="Arial"/>
        </w:rPr>
        <w:t>Flexi-wage</w:t>
      </w:r>
      <w:r w:rsidRPr="0056293C">
        <w:rPr>
          <w:rStyle w:val="EndnoteReference"/>
          <w:rFonts w:cs="Arial"/>
        </w:rPr>
        <w:endnoteReference w:id="39"/>
      </w:r>
      <w:r w:rsidRPr="0056293C">
        <w:rPr>
          <w:rFonts w:cs="Arial"/>
        </w:rPr>
        <w:t xml:space="preserve"> </w:t>
      </w:r>
      <w:r>
        <w:rPr>
          <w:rFonts w:cs="Arial"/>
        </w:rPr>
        <w:t xml:space="preserve">is available </w:t>
      </w:r>
      <w:r w:rsidRPr="0056293C">
        <w:rPr>
          <w:rFonts w:cs="Arial"/>
        </w:rPr>
        <w:t>if you haven't worked for a long time or have difficulty getting or keeping a job. Your employer is paid a contribution to your wages.</w:t>
      </w:r>
    </w:p>
    <w:p w14:paraId="4587E024" w14:textId="717A47FA" w:rsidR="0040316C" w:rsidRPr="00757846" w:rsidRDefault="0040316C" w:rsidP="0040316C">
      <w:pPr>
        <w:pStyle w:val="Heading3"/>
        <w:rPr>
          <w:rFonts w:cs="Arial"/>
        </w:rPr>
      </w:pPr>
      <w:bookmarkStart w:id="266" w:name="_Toc132376338"/>
      <w:bookmarkStart w:id="267" w:name="_Toc132379384"/>
      <w:bookmarkStart w:id="268" w:name="_Toc132380317"/>
      <w:bookmarkStart w:id="269" w:name="_Toc132380459"/>
      <w:bookmarkStart w:id="270" w:name="_Toc132543853"/>
      <w:bookmarkStart w:id="271" w:name="_Toc132558497"/>
      <w:bookmarkStart w:id="272" w:name="_Toc132558591"/>
      <w:bookmarkStart w:id="273" w:name="_Toc132559830"/>
      <w:bookmarkStart w:id="274" w:name="_Toc132562507"/>
      <w:bookmarkStart w:id="275" w:name="_Toc132563976"/>
      <w:bookmarkStart w:id="276" w:name="_Toc132711183"/>
      <w:bookmarkStart w:id="277" w:name="_Toc132714497"/>
      <w:bookmarkStart w:id="278" w:name="_Toc132717611"/>
      <w:bookmarkStart w:id="279" w:name="_Toc132718384"/>
      <w:bookmarkStart w:id="280" w:name="_Toc132718612"/>
      <w:bookmarkStart w:id="281" w:name="_Toc132758427"/>
      <w:bookmarkStart w:id="282" w:name="_Toc132758484"/>
      <w:bookmarkStart w:id="283" w:name="_Toc132759128"/>
      <w:bookmarkStart w:id="284" w:name="_Toc132799745"/>
      <w:bookmarkStart w:id="285" w:name="_Toc132799918"/>
      <w:bookmarkStart w:id="286" w:name="_Toc132813282"/>
      <w:bookmarkStart w:id="287" w:name="_Toc132814818"/>
      <w:bookmarkStart w:id="288" w:name="_Toc132816173"/>
      <w:bookmarkStart w:id="289" w:name="_Toc133076276"/>
      <w:r>
        <w:t xml:space="preserve">Productivity </w:t>
      </w:r>
      <w:r w:rsidR="00695057">
        <w:t>a</w:t>
      </w:r>
      <w:r w:rsidRPr="00F4058A">
        <w:t>llowance</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08AE96D4" w14:textId="77777777" w:rsidR="0040316C" w:rsidRDefault="0040316C" w:rsidP="0040316C">
      <w:r>
        <w:t>A productivity allowance is a wage subsidy available to your employer while you gain skills and establish workplace supports that would be available to anyone starting a new job. It is not available if you have previously participated in MSD programmes such as Mainstream, Mana in Mahi, or received other wage subsidies such as Flexi-wage. A productivity allowance is only considered after all other support services have been provided, including physical supports relevant to your disability. The productivity allowance is not permanent and it is expected it will lead to unsubsidised employment.</w:t>
      </w:r>
    </w:p>
    <w:p w14:paraId="2CDD0AE0" w14:textId="3BBA49CE" w:rsidR="00DD4511" w:rsidRDefault="0040316C" w:rsidP="0040316C">
      <w:r>
        <w:t xml:space="preserve">Further information about different types of supports is available </w:t>
      </w:r>
      <w:r w:rsidR="0062043F">
        <w:t>with</w:t>
      </w:r>
      <w:r>
        <w:t>in the MSD and Workbridge Operational Guidelines.</w:t>
      </w:r>
      <w:r>
        <w:rPr>
          <w:rStyle w:val="EndnoteReference"/>
        </w:rPr>
        <w:endnoteReference w:id="40"/>
      </w:r>
      <w:r>
        <w:t xml:space="preserve"> </w:t>
      </w:r>
      <w:r>
        <w:rPr>
          <w:rStyle w:val="EndnoteReference"/>
        </w:rPr>
        <w:endnoteReference w:id="41"/>
      </w:r>
    </w:p>
    <w:p w14:paraId="765C60C7" w14:textId="77777777" w:rsidR="00DD4511" w:rsidRDefault="00DD4511">
      <w:pPr>
        <w:spacing w:after="160" w:line="259" w:lineRule="auto"/>
      </w:pPr>
      <w:r>
        <w:br w:type="page"/>
      </w:r>
    </w:p>
    <w:p w14:paraId="1A16163B" w14:textId="6358D45C" w:rsidR="00EC5D41" w:rsidRDefault="00EC5D41" w:rsidP="00EC5D41">
      <w:pPr>
        <w:pStyle w:val="Heading2"/>
        <w:spacing w:after="0"/>
      </w:pPr>
      <w:bookmarkStart w:id="290" w:name="_Toc133076277"/>
      <w:r>
        <w:lastRenderedPageBreak/>
        <w:t>Appendix B: Data on Support Funds (2021)</w:t>
      </w:r>
      <w:bookmarkEnd w:id="290"/>
    </w:p>
    <w:p w14:paraId="406452CF" w14:textId="77777777" w:rsidR="00763F5C" w:rsidRDefault="00763F5C" w:rsidP="00763F5C">
      <w:pPr>
        <w:spacing w:after="0"/>
      </w:pPr>
    </w:p>
    <w:p w14:paraId="391E5044" w14:textId="77777777" w:rsidR="00971BBB" w:rsidRPr="00BF687D" w:rsidRDefault="00971BBB" w:rsidP="00BF687D">
      <w:r w:rsidRPr="00BF687D">
        <w:t>The Ministry of Social Development notes in the communication of this data that:</w:t>
      </w:r>
    </w:p>
    <w:p w14:paraId="5AFA0FAD" w14:textId="62B0C2F3" w:rsidR="00971BBB" w:rsidRPr="00BF687D" w:rsidRDefault="00971BBB" w:rsidP="00BF687D">
      <w:pPr>
        <w:pStyle w:val="ListParagraph"/>
        <w:numPr>
          <w:ilvl w:val="0"/>
          <w:numId w:val="20"/>
        </w:numPr>
        <w:rPr>
          <w:rStyle w:val="Emphasis"/>
          <w:i w:val="0"/>
          <w:iCs w:val="0"/>
        </w:rPr>
      </w:pPr>
      <w:r w:rsidRPr="00BF687D">
        <w:rPr>
          <w:rStyle w:val="Emphasis"/>
          <w:i w:val="0"/>
          <w:iCs w:val="0"/>
        </w:rPr>
        <w:t xml:space="preserve">To protect confidentiality, the Ministry uses processes to make it difficult to identify an individual person or entity from published data. </w:t>
      </w:r>
    </w:p>
    <w:p w14:paraId="46384AEC" w14:textId="77777777" w:rsidR="00971BBB" w:rsidRPr="00BF687D" w:rsidRDefault="00971BBB" w:rsidP="00BF687D">
      <w:pPr>
        <w:pStyle w:val="ListParagraph"/>
        <w:numPr>
          <w:ilvl w:val="0"/>
          <w:numId w:val="20"/>
        </w:numPr>
        <w:rPr>
          <w:rStyle w:val="Emphasis"/>
          <w:i w:val="0"/>
          <w:iCs w:val="0"/>
        </w:rPr>
      </w:pPr>
      <w:r w:rsidRPr="00BF687D">
        <w:rPr>
          <w:rStyle w:val="Emphasis"/>
          <w:i w:val="0"/>
          <w:iCs w:val="0"/>
        </w:rPr>
        <w:t xml:space="preserve">These data tables have had random rounding to base three applied to all cell counts in the table. </w:t>
      </w:r>
    </w:p>
    <w:p w14:paraId="789F08DC" w14:textId="77777777" w:rsidR="00971BBB" w:rsidRPr="00BF687D" w:rsidRDefault="00971BBB" w:rsidP="00BF687D">
      <w:pPr>
        <w:pStyle w:val="ListParagraph"/>
        <w:numPr>
          <w:ilvl w:val="0"/>
          <w:numId w:val="20"/>
        </w:numPr>
        <w:rPr>
          <w:rStyle w:val="Emphasis"/>
          <w:i w:val="0"/>
          <w:iCs w:val="0"/>
        </w:rPr>
      </w:pPr>
      <w:r w:rsidRPr="00BF687D">
        <w:rPr>
          <w:rStyle w:val="Emphasis"/>
          <w:i w:val="0"/>
          <w:iCs w:val="0"/>
        </w:rPr>
        <w:t xml:space="preserve">The impact of applying random rounding is that columns and rows may not add exactly to the given column or row totals. </w:t>
      </w:r>
    </w:p>
    <w:p w14:paraId="0823EAEB" w14:textId="77777777" w:rsidR="00971BBB" w:rsidRPr="00BF687D" w:rsidRDefault="00971BBB" w:rsidP="00BF687D">
      <w:pPr>
        <w:pStyle w:val="ListParagraph"/>
        <w:numPr>
          <w:ilvl w:val="0"/>
          <w:numId w:val="20"/>
        </w:numPr>
      </w:pPr>
      <w:r w:rsidRPr="00BF687D">
        <w:rPr>
          <w:rStyle w:val="Emphasis"/>
          <w:i w:val="0"/>
          <w:iCs w:val="0"/>
        </w:rPr>
        <w:t>The published counts will never differ by more than two counts.</w:t>
      </w:r>
    </w:p>
    <w:p w14:paraId="79DDF270" w14:textId="77777777" w:rsidR="00005FA9" w:rsidRDefault="00005FA9" w:rsidP="00005FA9">
      <w:pPr>
        <w:pStyle w:val="Heading3"/>
      </w:pPr>
      <w:bookmarkStart w:id="291" w:name="_Toc133076278"/>
      <w:bookmarkStart w:id="292" w:name="_Toc132543868"/>
      <w:r>
        <w:t>Parliamentary Written Question 16187 (2021)</w:t>
      </w:r>
      <w:bookmarkEnd w:id="291"/>
    </w:p>
    <w:p w14:paraId="52AABAAE" w14:textId="236782F3" w:rsidR="00005FA9" w:rsidRDefault="00005FA9" w:rsidP="00005FA9">
      <w:r>
        <w:t xml:space="preserve">Jan Logie to the Minister for Social Development and Employment (04 May 2021): How many individuals have received support under the Job Support </w:t>
      </w:r>
      <w:r w:rsidR="00E12939">
        <w:t>f</w:t>
      </w:r>
      <w:r>
        <w:t>und each year since its conception? Hon Carmel Sepuloni (Minister for Social Development and Employment) replied.</w:t>
      </w:r>
      <w:r>
        <w:rPr>
          <w:rStyle w:val="EndnoteReference"/>
          <w:bCs/>
        </w:rPr>
        <w:endnoteReference w:id="42"/>
      </w:r>
    </w:p>
    <w:p w14:paraId="7AC8991F" w14:textId="6069560B" w:rsidR="00005FA9" w:rsidRPr="00DB363F" w:rsidRDefault="00005FA9" w:rsidP="00005FA9">
      <w:pPr>
        <w:pStyle w:val="Caption"/>
        <w:rPr>
          <w:bCs/>
        </w:rPr>
      </w:pPr>
      <w:r>
        <w:t xml:space="preserve">Table 6 (16187): </w:t>
      </w:r>
      <w:bookmarkEnd w:id="292"/>
      <w:r>
        <w:t xml:space="preserve">the number of individuals who have received Job Support </w:t>
      </w:r>
      <w:r w:rsidR="00E12939">
        <w:t>f</w:t>
      </w:r>
      <w:r>
        <w:t>unds each year since the financial year 2011/12.</w:t>
      </w:r>
    </w:p>
    <w:tbl>
      <w:tblPr>
        <w:tblStyle w:val="TableGrid"/>
        <w:tblW w:w="9027" w:type="dxa"/>
        <w:tblLayout w:type="fixed"/>
        <w:tblLook w:val="06A0" w:firstRow="1" w:lastRow="0" w:firstColumn="1" w:lastColumn="0" w:noHBand="1" w:noVBand="1"/>
      </w:tblPr>
      <w:tblGrid>
        <w:gridCol w:w="3009"/>
        <w:gridCol w:w="3009"/>
        <w:gridCol w:w="3009"/>
      </w:tblGrid>
      <w:tr w:rsidR="00005FA9" w:rsidRPr="00E46857" w14:paraId="0876BB61" w14:textId="77777777" w:rsidTr="007F7BE4">
        <w:tc>
          <w:tcPr>
            <w:tcW w:w="3009" w:type="dxa"/>
            <w:shd w:val="clear" w:color="auto" w:fill="auto"/>
          </w:tcPr>
          <w:p w14:paraId="7CA73A63" w14:textId="77777777" w:rsidR="00005FA9" w:rsidRPr="008B29CE" w:rsidRDefault="00005FA9" w:rsidP="007F7BE4">
            <w:pPr>
              <w:spacing w:after="0" w:line="240" w:lineRule="auto"/>
              <w:rPr>
                <w:rFonts w:eastAsia="Calibri" w:cs="Arial"/>
                <w:b/>
                <w:bCs/>
                <w:color w:val="auto"/>
                <w:szCs w:val="24"/>
              </w:rPr>
            </w:pPr>
            <w:r w:rsidRPr="008B29CE">
              <w:rPr>
                <w:rFonts w:eastAsia="Calibri" w:cs="Arial"/>
                <w:b/>
                <w:bCs/>
                <w:color w:val="auto"/>
                <w:szCs w:val="24"/>
              </w:rPr>
              <w:t xml:space="preserve"> Financial year</w:t>
            </w:r>
          </w:p>
        </w:tc>
        <w:tc>
          <w:tcPr>
            <w:tcW w:w="3009" w:type="dxa"/>
            <w:shd w:val="clear" w:color="auto" w:fill="auto"/>
          </w:tcPr>
          <w:p w14:paraId="3677D92F" w14:textId="1EAF3F44" w:rsidR="00005FA9" w:rsidRPr="009B0A93" w:rsidRDefault="00005FA9" w:rsidP="007F7BE4">
            <w:pPr>
              <w:spacing w:after="0" w:line="240" w:lineRule="auto"/>
              <w:rPr>
                <w:rFonts w:eastAsia="Calibri" w:cs="Arial"/>
                <w:b/>
                <w:bCs/>
                <w:color w:val="auto"/>
                <w:szCs w:val="24"/>
              </w:rPr>
            </w:pPr>
            <w:r w:rsidRPr="009B0A93">
              <w:rPr>
                <w:b/>
                <w:bCs/>
              </w:rPr>
              <w:t xml:space="preserve">Number of individuals receiving Job Support </w:t>
            </w:r>
            <w:r w:rsidR="00E12939">
              <w:rPr>
                <w:b/>
                <w:bCs/>
              </w:rPr>
              <w:t>f</w:t>
            </w:r>
            <w:r w:rsidRPr="009B0A93">
              <w:rPr>
                <w:b/>
                <w:bCs/>
              </w:rPr>
              <w:t>unding support</w:t>
            </w:r>
          </w:p>
        </w:tc>
        <w:tc>
          <w:tcPr>
            <w:tcW w:w="3009" w:type="dxa"/>
            <w:shd w:val="clear" w:color="auto" w:fill="auto"/>
          </w:tcPr>
          <w:p w14:paraId="2ED3A53C" w14:textId="555D3E98" w:rsidR="00005FA9" w:rsidRPr="009B0A93" w:rsidRDefault="00005FA9" w:rsidP="007F7BE4">
            <w:pPr>
              <w:spacing w:after="0" w:line="240" w:lineRule="auto"/>
              <w:rPr>
                <w:rFonts w:eastAsia="Calibri" w:cs="Arial"/>
                <w:b/>
                <w:bCs/>
                <w:color w:val="auto"/>
                <w:szCs w:val="24"/>
              </w:rPr>
            </w:pPr>
            <w:r w:rsidRPr="009B0A93">
              <w:rPr>
                <w:b/>
                <w:bCs/>
              </w:rPr>
              <w:t xml:space="preserve">Total number of applications for Job Support </w:t>
            </w:r>
            <w:r w:rsidR="00E12939">
              <w:rPr>
                <w:b/>
                <w:bCs/>
              </w:rPr>
              <w:t>f</w:t>
            </w:r>
            <w:r w:rsidRPr="009B0A93">
              <w:rPr>
                <w:b/>
                <w:bCs/>
              </w:rPr>
              <w:t>unds</w:t>
            </w:r>
          </w:p>
        </w:tc>
      </w:tr>
      <w:tr w:rsidR="00005FA9" w:rsidRPr="00E46857" w14:paraId="6CB2C875" w14:textId="77777777" w:rsidTr="007F7BE4">
        <w:trPr>
          <w:trHeight w:val="51"/>
        </w:trPr>
        <w:tc>
          <w:tcPr>
            <w:tcW w:w="3009" w:type="dxa"/>
          </w:tcPr>
          <w:p w14:paraId="4DFF1DC7" w14:textId="77777777" w:rsidR="00005FA9" w:rsidRPr="00E46857" w:rsidRDefault="00005FA9" w:rsidP="007F7BE4">
            <w:pPr>
              <w:spacing w:after="0" w:line="240" w:lineRule="auto"/>
              <w:rPr>
                <w:rFonts w:eastAsia="Calibri" w:cs="Arial"/>
                <w:color w:val="auto"/>
                <w:szCs w:val="24"/>
              </w:rPr>
            </w:pPr>
            <w:r w:rsidRPr="00E46857">
              <w:rPr>
                <w:rFonts w:eastAsia="Calibri" w:cs="Arial"/>
                <w:color w:val="auto"/>
                <w:szCs w:val="24"/>
              </w:rPr>
              <w:t>2011/12</w:t>
            </w:r>
          </w:p>
        </w:tc>
        <w:tc>
          <w:tcPr>
            <w:tcW w:w="3009" w:type="dxa"/>
          </w:tcPr>
          <w:p w14:paraId="4F263535"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1,518</w:t>
            </w:r>
          </w:p>
        </w:tc>
        <w:tc>
          <w:tcPr>
            <w:tcW w:w="3009" w:type="dxa"/>
          </w:tcPr>
          <w:p w14:paraId="07D40AE6"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2,552</w:t>
            </w:r>
          </w:p>
        </w:tc>
      </w:tr>
      <w:tr w:rsidR="00005FA9" w:rsidRPr="00E46857" w14:paraId="0DBF029D" w14:textId="77777777" w:rsidTr="007F7BE4">
        <w:trPr>
          <w:trHeight w:val="51"/>
        </w:trPr>
        <w:tc>
          <w:tcPr>
            <w:tcW w:w="3009" w:type="dxa"/>
          </w:tcPr>
          <w:p w14:paraId="21C12578" w14:textId="77777777" w:rsidR="00005FA9" w:rsidRPr="00E46857" w:rsidRDefault="00005FA9" w:rsidP="007F7BE4">
            <w:pPr>
              <w:spacing w:after="0" w:line="240" w:lineRule="auto"/>
              <w:rPr>
                <w:rFonts w:eastAsia="Calibri" w:cs="Arial"/>
                <w:color w:val="auto"/>
                <w:szCs w:val="24"/>
              </w:rPr>
            </w:pPr>
            <w:r w:rsidRPr="00E46857">
              <w:rPr>
                <w:rFonts w:eastAsia="Calibri" w:cs="Arial"/>
                <w:color w:val="auto"/>
                <w:szCs w:val="24"/>
              </w:rPr>
              <w:t>2012/13</w:t>
            </w:r>
          </w:p>
        </w:tc>
        <w:tc>
          <w:tcPr>
            <w:tcW w:w="3009" w:type="dxa"/>
          </w:tcPr>
          <w:p w14:paraId="09C734E7"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1,408</w:t>
            </w:r>
          </w:p>
        </w:tc>
        <w:tc>
          <w:tcPr>
            <w:tcW w:w="3009" w:type="dxa"/>
          </w:tcPr>
          <w:p w14:paraId="3A454042"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2,258</w:t>
            </w:r>
          </w:p>
        </w:tc>
      </w:tr>
      <w:tr w:rsidR="00005FA9" w:rsidRPr="00E46857" w14:paraId="143954D1" w14:textId="77777777" w:rsidTr="007F7BE4">
        <w:trPr>
          <w:trHeight w:val="51"/>
        </w:trPr>
        <w:tc>
          <w:tcPr>
            <w:tcW w:w="3009" w:type="dxa"/>
          </w:tcPr>
          <w:p w14:paraId="73D40451" w14:textId="77777777" w:rsidR="00005FA9" w:rsidRPr="00E46857" w:rsidRDefault="00005FA9" w:rsidP="007F7BE4">
            <w:pPr>
              <w:spacing w:after="0" w:line="240" w:lineRule="auto"/>
              <w:rPr>
                <w:rFonts w:eastAsia="Calibri" w:cs="Arial"/>
                <w:color w:val="auto"/>
                <w:szCs w:val="24"/>
              </w:rPr>
            </w:pPr>
            <w:r w:rsidRPr="00E46857">
              <w:rPr>
                <w:rFonts w:eastAsia="Calibri" w:cs="Arial"/>
                <w:color w:val="auto"/>
                <w:szCs w:val="24"/>
              </w:rPr>
              <w:t>2013/14</w:t>
            </w:r>
          </w:p>
        </w:tc>
        <w:tc>
          <w:tcPr>
            <w:tcW w:w="3009" w:type="dxa"/>
          </w:tcPr>
          <w:p w14:paraId="27B69BFA"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1,242</w:t>
            </w:r>
          </w:p>
        </w:tc>
        <w:tc>
          <w:tcPr>
            <w:tcW w:w="3009" w:type="dxa"/>
          </w:tcPr>
          <w:p w14:paraId="238A85BC"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1,949</w:t>
            </w:r>
          </w:p>
        </w:tc>
      </w:tr>
      <w:tr w:rsidR="00005FA9" w:rsidRPr="00E46857" w14:paraId="259F3294" w14:textId="77777777" w:rsidTr="007F7BE4">
        <w:trPr>
          <w:trHeight w:val="51"/>
        </w:trPr>
        <w:tc>
          <w:tcPr>
            <w:tcW w:w="3009" w:type="dxa"/>
          </w:tcPr>
          <w:p w14:paraId="76778F65" w14:textId="77777777" w:rsidR="00005FA9" w:rsidRPr="00E46857" w:rsidRDefault="00005FA9" w:rsidP="007F7BE4">
            <w:pPr>
              <w:spacing w:after="0" w:line="240" w:lineRule="auto"/>
              <w:rPr>
                <w:rFonts w:eastAsia="Calibri" w:cs="Arial"/>
                <w:color w:val="auto"/>
                <w:szCs w:val="24"/>
              </w:rPr>
            </w:pPr>
            <w:r w:rsidRPr="00E46857">
              <w:rPr>
                <w:rFonts w:eastAsia="Calibri" w:cs="Arial"/>
                <w:color w:val="auto"/>
                <w:szCs w:val="24"/>
              </w:rPr>
              <w:t>2014/15</w:t>
            </w:r>
          </w:p>
        </w:tc>
        <w:tc>
          <w:tcPr>
            <w:tcW w:w="3009" w:type="dxa"/>
          </w:tcPr>
          <w:p w14:paraId="63C4FBBE"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1,241</w:t>
            </w:r>
          </w:p>
        </w:tc>
        <w:tc>
          <w:tcPr>
            <w:tcW w:w="3009" w:type="dxa"/>
          </w:tcPr>
          <w:p w14:paraId="16FA9127"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2,053</w:t>
            </w:r>
          </w:p>
        </w:tc>
      </w:tr>
      <w:tr w:rsidR="00005FA9" w:rsidRPr="00E46857" w14:paraId="2D57CB85" w14:textId="77777777" w:rsidTr="007F7BE4">
        <w:trPr>
          <w:trHeight w:val="51"/>
        </w:trPr>
        <w:tc>
          <w:tcPr>
            <w:tcW w:w="3009" w:type="dxa"/>
          </w:tcPr>
          <w:p w14:paraId="67640E16" w14:textId="77777777" w:rsidR="00005FA9" w:rsidRPr="00E46857" w:rsidRDefault="00005FA9" w:rsidP="007F7BE4">
            <w:pPr>
              <w:spacing w:after="0" w:line="240" w:lineRule="auto"/>
              <w:rPr>
                <w:rFonts w:eastAsia="Calibri" w:cs="Arial"/>
                <w:color w:val="auto"/>
                <w:szCs w:val="24"/>
              </w:rPr>
            </w:pPr>
            <w:r w:rsidRPr="00E46857">
              <w:rPr>
                <w:rFonts w:eastAsia="Calibri" w:cs="Arial"/>
                <w:color w:val="auto"/>
                <w:szCs w:val="24"/>
              </w:rPr>
              <w:t>2015/16</w:t>
            </w:r>
          </w:p>
        </w:tc>
        <w:tc>
          <w:tcPr>
            <w:tcW w:w="3009" w:type="dxa"/>
          </w:tcPr>
          <w:p w14:paraId="047D5649"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1,140</w:t>
            </w:r>
          </w:p>
        </w:tc>
        <w:tc>
          <w:tcPr>
            <w:tcW w:w="3009" w:type="dxa"/>
          </w:tcPr>
          <w:p w14:paraId="5763DE66"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1,851</w:t>
            </w:r>
          </w:p>
        </w:tc>
      </w:tr>
      <w:tr w:rsidR="00005FA9" w:rsidRPr="00E46857" w14:paraId="65F0E691" w14:textId="77777777" w:rsidTr="007F7BE4">
        <w:trPr>
          <w:trHeight w:val="54"/>
        </w:trPr>
        <w:tc>
          <w:tcPr>
            <w:tcW w:w="3009" w:type="dxa"/>
          </w:tcPr>
          <w:p w14:paraId="1C276657" w14:textId="77777777" w:rsidR="00005FA9" w:rsidRPr="00E46857" w:rsidRDefault="00005FA9" w:rsidP="007F7BE4">
            <w:pPr>
              <w:spacing w:after="0" w:line="240" w:lineRule="auto"/>
              <w:rPr>
                <w:rFonts w:eastAsia="Calibri" w:cs="Arial"/>
                <w:color w:val="auto"/>
                <w:szCs w:val="24"/>
              </w:rPr>
            </w:pPr>
            <w:r w:rsidRPr="00E46857">
              <w:rPr>
                <w:rFonts w:eastAsia="Calibri" w:cs="Arial"/>
                <w:color w:val="auto"/>
                <w:szCs w:val="24"/>
              </w:rPr>
              <w:t>2016/17</w:t>
            </w:r>
          </w:p>
        </w:tc>
        <w:tc>
          <w:tcPr>
            <w:tcW w:w="3009" w:type="dxa"/>
          </w:tcPr>
          <w:p w14:paraId="2E8DD3D9"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1,065</w:t>
            </w:r>
          </w:p>
        </w:tc>
        <w:tc>
          <w:tcPr>
            <w:tcW w:w="3009" w:type="dxa"/>
          </w:tcPr>
          <w:p w14:paraId="1205072C"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1,682</w:t>
            </w:r>
          </w:p>
        </w:tc>
      </w:tr>
      <w:tr w:rsidR="00005FA9" w:rsidRPr="00E46857" w14:paraId="6B11BF5E" w14:textId="77777777" w:rsidTr="007F7BE4">
        <w:trPr>
          <w:trHeight w:val="51"/>
        </w:trPr>
        <w:tc>
          <w:tcPr>
            <w:tcW w:w="3009" w:type="dxa"/>
          </w:tcPr>
          <w:p w14:paraId="65CA42BB" w14:textId="77777777" w:rsidR="00005FA9" w:rsidRPr="00E46857" w:rsidRDefault="00005FA9" w:rsidP="007F7BE4">
            <w:pPr>
              <w:spacing w:after="0" w:line="240" w:lineRule="auto"/>
              <w:rPr>
                <w:rFonts w:eastAsia="Calibri" w:cs="Arial"/>
                <w:color w:val="auto"/>
                <w:szCs w:val="24"/>
              </w:rPr>
            </w:pPr>
            <w:r w:rsidRPr="00E46857">
              <w:rPr>
                <w:rFonts w:eastAsia="Calibri" w:cs="Arial"/>
                <w:color w:val="auto"/>
                <w:szCs w:val="24"/>
              </w:rPr>
              <w:t>2017/18</w:t>
            </w:r>
          </w:p>
        </w:tc>
        <w:tc>
          <w:tcPr>
            <w:tcW w:w="3009" w:type="dxa"/>
          </w:tcPr>
          <w:p w14:paraId="1B6EFC04"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1,156</w:t>
            </w:r>
          </w:p>
        </w:tc>
        <w:tc>
          <w:tcPr>
            <w:tcW w:w="3009" w:type="dxa"/>
          </w:tcPr>
          <w:p w14:paraId="0BC6F781"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1,794</w:t>
            </w:r>
          </w:p>
        </w:tc>
      </w:tr>
      <w:tr w:rsidR="00005FA9" w:rsidRPr="00E46857" w14:paraId="7CC69D0E" w14:textId="77777777" w:rsidTr="007F7BE4">
        <w:trPr>
          <w:trHeight w:val="51"/>
        </w:trPr>
        <w:tc>
          <w:tcPr>
            <w:tcW w:w="3009" w:type="dxa"/>
          </w:tcPr>
          <w:p w14:paraId="22E75922" w14:textId="77777777" w:rsidR="00005FA9" w:rsidRPr="00E46857" w:rsidRDefault="00005FA9" w:rsidP="007F7BE4">
            <w:pPr>
              <w:spacing w:after="0" w:line="240" w:lineRule="auto"/>
              <w:rPr>
                <w:rFonts w:eastAsia="Calibri" w:cs="Arial"/>
                <w:color w:val="auto"/>
                <w:szCs w:val="24"/>
              </w:rPr>
            </w:pPr>
            <w:r w:rsidRPr="00E46857">
              <w:rPr>
                <w:rFonts w:eastAsia="Calibri" w:cs="Arial"/>
                <w:color w:val="auto"/>
                <w:szCs w:val="24"/>
              </w:rPr>
              <w:t>2018/19</w:t>
            </w:r>
          </w:p>
        </w:tc>
        <w:tc>
          <w:tcPr>
            <w:tcW w:w="3009" w:type="dxa"/>
          </w:tcPr>
          <w:p w14:paraId="20533B0E"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1,051</w:t>
            </w:r>
          </w:p>
        </w:tc>
        <w:tc>
          <w:tcPr>
            <w:tcW w:w="3009" w:type="dxa"/>
          </w:tcPr>
          <w:p w14:paraId="340D496D"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1,607</w:t>
            </w:r>
          </w:p>
        </w:tc>
      </w:tr>
      <w:tr w:rsidR="00005FA9" w:rsidRPr="00E46857" w14:paraId="7FAD06F0" w14:textId="77777777" w:rsidTr="007F7BE4">
        <w:trPr>
          <w:trHeight w:val="51"/>
        </w:trPr>
        <w:tc>
          <w:tcPr>
            <w:tcW w:w="3009" w:type="dxa"/>
          </w:tcPr>
          <w:p w14:paraId="6A8426B5" w14:textId="77777777" w:rsidR="00005FA9" w:rsidRPr="00E46857" w:rsidRDefault="00005FA9" w:rsidP="007F7BE4">
            <w:pPr>
              <w:spacing w:after="0" w:line="240" w:lineRule="auto"/>
              <w:rPr>
                <w:rFonts w:eastAsia="Calibri" w:cs="Arial"/>
                <w:color w:val="auto"/>
                <w:szCs w:val="24"/>
              </w:rPr>
            </w:pPr>
            <w:r w:rsidRPr="00E46857">
              <w:rPr>
                <w:rFonts w:eastAsia="Calibri" w:cs="Arial"/>
                <w:color w:val="auto"/>
                <w:szCs w:val="24"/>
              </w:rPr>
              <w:t>2019/20</w:t>
            </w:r>
          </w:p>
        </w:tc>
        <w:tc>
          <w:tcPr>
            <w:tcW w:w="3009" w:type="dxa"/>
          </w:tcPr>
          <w:p w14:paraId="6ACDDB12"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950</w:t>
            </w:r>
          </w:p>
        </w:tc>
        <w:tc>
          <w:tcPr>
            <w:tcW w:w="3009" w:type="dxa"/>
          </w:tcPr>
          <w:p w14:paraId="765A4243"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1,535</w:t>
            </w:r>
          </w:p>
        </w:tc>
      </w:tr>
      <w:tr w:rsidR="00005FA9" w:rsidRPr="00E46857" w14:paraId="1DF69715" w14:textId="77777777" w:rsidTr="007F7BE4">
        <w:trPr>
          <w:trHeight w:val="51"/>
        </w:trPr>
        <w:tc>
          <w:tcPr>
            <w:tcW w:w="3009" w:type="dxa"/>
          </w:tcPr>
          <w:p w14:paraId="2BF0161B" w14:textId="77777777" w:rsidR="00005FA9" w:rsidRPr="00E46857" w:rsidRDefault="00005FA9" w:rsidP="007F7BE4">
            <w:pPr>
              <w:spacing w:after="0" w:line="240" w:lineRule="auto"/>
              <w:rPr>
                <w:rFonts w:eastAsia="Calibri" w:cs="Arial"/>
                <w:color w:val="auto"/>
                <w:szCs w:val="24"/>
              </w:rPr>
            </w:pPr>
            <w:r w:rsidRPr="00E46857">
              <w:rPr>
                <w:rFonts w:eastAsia="Calibri" w:cs="Arial"/>
                <w:color w:val="auto"/>
                <w:szCs w:val="24"/>
              </w:rPr>
              <w:t>2020/21 to 31/3/21</w:t>
            </w:r>
          </w:p>
        </w:tc>
        <w:tc>
          <w:tcPr>
            <w:tcW w:w="3009" w:type="dxa"/>
          </w:tcPr>
          <w:p w14:paraId="348CD975"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721</w:t>
            </w:r>
          </w:p>
        </w:tc>
        <w:tc>
          <w:tcPr>
            <w:tcW w:w="3009" w:type="dxa"/>
          </w:tcPr>
          <w:p w14:paraId="1A7F3A91" w14:textId="77777777" w:rsidR="00005FA9" w:rsidRPr="00E46857" w:rsidRDefault="00005FA9" w:rsidP="007F7BE4">
            <w:pPr>
              <w:spacing w:after="0" w:line="240" w:lineRule="auto"/>
              <w:jc w:val="right"/>
              <w:rPr>
                <w:rFonts w:eastAsia="Calibri" w:cs="Arial"/>
                <w:color w:val="auto"/>
                <w:szCs w:val="24"/>
              </w:rPr>
            </w:pPr>
            <w:r w:rsidRPr="00E46857">
              <w:rPr>
                <w:rFonts w:eastAsia="Calibri" w:cs="Arial"/>
                <w:color w:val="auto"/>
                <w:szCs w:val="24"/>
              </w:rPr>
              <w:t>1,035</w:t>
            </w:r>
          </w:p>
        </w:tc>
      </w:tr>
    </w:tbl>
    <w:p w14:paraId="180EC245" w14:textId="77777777" w:rsidR="00005FA9" w:rsidRDefault="00005FA9" w:rsidP="00005FA9">
      <w:pPr>
        <w:spacing w:after="0" w:line="240" w:lineRule="auto"/>
        <w:rPr>
          <w:rStyle w:val="Emphasis"/>
        </w:rPr>
      </w:pPr>
    </w:p>
    <w:p w14:paraId="093F890B" w14:textId="77777777" w:rsidR="00005FA9" w:rsidRPr="00FE5223" w:rsidRDefault="00005FA9" w:rsidP="00005FA9">
      <w:pPr>
        <w:spacing w:after="0" w:line="240" w:lineRule="auto"/>
        <w:rPr>
          <w:rStyle w:val="Emphasis"/>
        </w:rPr>
      </w:pPr>
      <w:r w:rsidRPr="00FE5223">
        <w:rPr>
          <w:rStyle w:val="Emphasis"/>
        </w:rPr>
        <w:t>Notes:</w:t>
      </w:r>
    </w:p>
    <w:p w14:paraId="65791268" w14:textId="77777777" w:rsidR="00005FA9" w:rsidRPr="00FE5223" w:rsidRDefault="00005FA9" w:rsidP="00005FA9">
      <w:pPr>
        <w:pStyle w:val="ListParagraph"/>
        <w:numPr>
          <w:ilvl w:val="0"/>
          <w:numId w:val="16"/>
        </w:numPr>
        <w:spacing w:after="0" w:line="240" w:lineRule="auto"/>
        <w:rPr>
          <w:rStyle w:val="Emphasis"/>
        </w:rPr>
      </w:pPr>
      <w:r w:rsidRPr="00FE5223">
        <w:rPr>
          <w:rStyle w:val="Emphasis"/>
        </w:rPr>
        <w:t>Due to the availability of reporting information the Ministry can only provide the data from 2011/12 financial year.</w:t>
      </w:r>
    </w:p>
    <w:p w14:paraId="70C40E73" w14:textId="77777777" w:rsidR="00005FA9" w:rsidRPr="00FE5223" w:rsidRDefault="00005FA9" w:rsidP="00005FA9">
      <w:pPr>
        <w:pStyle w:val="ListParagraph"/>
        <w:numPr>
          <w:ilvl w:val="0"/>
          <w:numId w:val="16"/>
        </w:numPr>
        <w:spacing w:after="0" w:line="240" w:lineRule="auto"/>
        <w:rPr>
          <w:rStyle w:val="Emphasis"/>
        </w:rPr>
      </w:pPr>
      <w:r w:rsidRPr="00FE5223">
        <w:rPr>
          <w:rStyle w:val="Emphasis"/>
        </w:rPr>
        <w:t>This is a count of the total application numbers as well as a count of individuals. Individuals can make more than one application in a 52-week period.</w:t>
      </w:r>
    </w:p>
    <w:p w14:paraId="6F55CC7C" w14:textId="77777777" w:rsidR="00005FA9" w:rsidRDefault="00005FA9" w:rsidP="00005FA9">
      <w:pPr>
        <w:pStyle w:val="Heading3"/>
      </w:pPr>
      <w:bookmarkStart w:id="293" w:name="_Toc133076279"/>
      <w:r>
        <w:lastRenderedPageBreak/>
        <w:t xml:space="preserve">Parliamentary Written Question </w:t>
      </w:r>
      <w:r w:rsidRPr="00000756">
        <w:t>16186 (2021)</w:t>
      </w:r>
      <w:bookmarkEnd w:id="293"/>
    </w:p>
    <w:p w14:paraId="4992A004" w14:textId="3727504B" w:rsidR="00005FA9" w:rsidRDefault="00005FA9" w:rsidP="00005FA9">
      <w:r>
        <w:t>J</w:t>
      </w:r>
      <w:r w:rsidRPr="00000756">
        <w:t xml:space="preserve">an Logie to the Minister for Social Development and Employment (04 May 2021): How many applications to the Job Support </w:t>
      </w:r>
      <w:r w:rsidR="00E12939">
        <w:t>f</w:t>
      </w:r>
      <w:r w:rsidRPr="00000756">
        <w:t>und have been declined each year for the last five years?</w:t>
      </w:r>
      <w:r>
        <w:t xml:space="preserve"> </w:t>
      </w:r>
      <w:r w:rsidRPr="00000756">
        <w:t>Hon Carmel Sepuloni (Minister for Social Development and Employment) replied.</w:t>
      </w:r>
      <w:r>
        <w:rPr>
          <w:rStyle w:val="EndnoteReference"/>
          <w:bCs/>
        </w:rPr>
        <w:endnoteReference w:id="43"/>
      </w:r>
    </w:p>
    <w:p w14:paraId="191193BF" w14:textId="0B5EBAB3" w:rsidR="00005FA9" w:rsidRPr="004738CC" w:rsidRDefault="00005FA9" w:rsidP="00005FA9">
      <w:pPr>
        <w:pStyle w:val="Caption"/>
      </w:pPr>
      <w:r>
        <w:t xml:space="preserve">Table 5 (16186): The number of Job Support </w:t>
      </w:r>
      <w:r w:rsidR="00E12939">
        <w:t>f</w:t>
      </w:r>
      <w:r>
        <w:t>unds applications that have been declined each year for the last five years as at 11 May 2021.</w:t>
      </w:r>
    </w:p>
    <w:tbl>
      <w:tblPr>
        <w:tblStyle w:val="TableGrid"/>
        <w:tblW w:w="9090" w:type="dxa"/>
        <w:tblLayout w:type="fixed"/>
        <w:tblLook w:val="06A0" w:firstRow="1" w:lastRow="0" w:firstColumn="1" w:lastColumn="0" w:noHBand="1" w:noVBand="1"/>
      </w:tblPr>
      <w:tblGrid>
        <w:gridCol w:w="3030"/>
        <w:gridCol w:w="3030"/>
        <w:gridCol w:w="3030"/>
      </w:tblGrid>
      <w:tr w:rsidR="00005FA9" w:rsidRPr="00E46857" w14:paraId="6895C84A" w14:textId="77777777" w:rsidTr="00CB7D38">
        <w:trPr>
          <w:trHeight w:val="302"/>
        </w:trPr>
        <w:tc>
          <w:tcPr>
            <w:tcW w:w="3030" w:type="dxa"/>
            <w:shd w:val="clear" w:color="auto" w:fill="auto"/>
          </w:tcPr>
          <w:p w14:paraId="525DB524" w14:textId="77777777" w:rsidR="00005FA9" w:rsidRPr="008B29CE" w:rsidRDefault="00005FA9" w:rsidP="00CB7D38">
            <w:pPr>
              <w:spacing w:after="0" w:line="240" w:lineRule="auto"/>
              <w:rPr>
                <w:rFonts w:eastAsia="Calibri" w:cs="Arial"/>
                <w:b/>
                <w:bCs/>
                <w:color w:val="auto"/>
                <w:szCs w:val="24"/>
              </w:rPr>
            </w:pPr>
            <w:r w:rsidRPr="008B29CE">
              <w:rPr>
                <w:rFonts w:eastAsia="Calibri" w:cs="Arial"/>
                <w:b/>
                <w:bCs/>
                <w:color w:val="auto"/>
                <w:szCs w:val="24"/>
              </w:rPr>
              <w:t>Calendar year</w:t>
            </w:r>
          </w:p>
        </w:tc>
        <w:tc>
          <w:tcPr>
            <w:tcW w:w="3030" w:type="dxa"/>
            <w:shd w:val="clear" w:color="auto" w:fill="auto"/>
          </w:tcPr>
          <w:p w14:paraId="6FFB0D1A" w14:textId="77777777" w:rsidR="00005FA9" w:rsidRPr="008B29CE" w:rsidRDefault="00005FA9" w:rsidP="00CB7D38">
            <w:pPr>
              <w:spacing w:after="0" w:line="240" w:lineRule="auto"/>
              <w:rPr>
                <w:rFonts w:eastAsia="Calibri" w:cs="Arial"/>
                <w:b/>
                <w:bCs/>
                <w:color w:val="auto"/>
                <w:szCs w:val="24"/>
              </w:rPr>
            </w:pPr>
            <w:r w:rsidRPr="008B29CE">
              <w:rPr>
                <w:rFonts w:eastAsia="Calibri" w:cs="Arial"/>
                <w:b/>
                <w:bCs/>
                <w:color w:val="auto"/>
                <w:szCs w:val="24"/>
              </w:rPr>
              <w:t>Number of applications fully declined</w:t>
            </w:r>
          </w:p>
        </w:tc>
        <w:tc>
          <w:tcPr>
            <w:tcW w:w="3030" w:type="dxa"/>
            <w:shd w:val="clear" w:color="auto" w:fill="auto"/>
          </w:tcPr>
          <w:p w14:paraId="0D329549" w14:textId="77777777" w:rsidR="00005FA9" w:rsidRPr="008B29CE" w:rsidRDefault="00005FA9" w:rsidP="00CB7D38">
            <w:pPr>
              <w:spacing w:after="0" w:line="240" w:lineRule="auto"/>
              <w:rPr>
                <w:rFonts w:eastAsia="Calibri" w:cs="Arial"/>
                <w:b/>
                <w:bCs/>
                <w:color w:val="auto"/>
                <w:szCs w:val="24"/>
              </w:rPr>
            </w:pPr>
            <w:r w:rsidRPr="008B29CE">
              <w:rPr>
                <w:rFonts w:eastAsia="Calibri" w:cs="Arial"/>
                <w:b/>
                <w:bCs/>
                <w:color w:val="auto"/>
                <w:szCs w:val="24"/>
              </w:rPr>
              <w:t>Number of applications partially declined</w:t>
            </w:r>
          </w:p>
        </w:tc>
      </w:tr>
      <w:tr w:rsidR="00005FA9" w:rsidRPr="00E46857" w14:paraId="6FE1C01D" w14:textId="77777777" w:rsidTr="00CB7D38">
        <w:trPr>
          <w:trHeight w:val="302"/>
        </w:trPr>
        <w:tc>
          <w:tcPr>
            <w:tcW w:w="3030" w:type="dxa"/>
          </w:tcPr>
          <w:p w14:paraId="5531B69E" w14:textId="77777777" w:rsidR="00005FA9" w:rsidRPr="00E46857" w:rsidRDefault="00005FA9" w:rsidP="00CB7D38">
            <w:pPr>
              <w:spacing w:after="0" w:line="240" w:lineRule="auto"/>
              <w:rPr>
                <w:rFonts w:eastAsia="Calibri" w:cs="Arial"/>
                <w:color w:val="auto"/>
                <w:szCs w:val="24"/>
              </w:rPr>
            </w:pPr>
            <w:r w:rsidRPr="00E46857">
              <w:rPr>
                <w:rFonts w:eastAsia="Calibri" w:cs="Arial"/>
                <w:color w:val="auto"/>
                <w:szCs w:val="24"/>
              </w:rPr>
              <w:t>2016</w:t>
            </w:r>
          </w:p>
        </w:tc>
        <w:tc>
          <w:tcPr>
            <w:tcW w:w="3030" w:type="dxa"/>
          </w:tcPr>
          <w:p w14:paraId="6F37AF46"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41</w:t>
            </w:r>
          </w:p>
        </w:tc>
        <w:tc>
          <w:tcPr>
            <w:tcW w:w="3030" w:type="dxa"/>
          </w:tcPr>
          <w:p w14:paraId="464C1581"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21</w:t>
            </w:r>
          </w:p>
        </w:tc>
      </w:tr>
      <w:tr w:rsidR="00005FA9" w:rsidRPr="00E46857" w14:paraId="7C9E23AE" w14:textId="77777777" w:rsidTr="00CB7D38">
        <w:trPr>
          <w:trHeight w:val="302"/>
        </w:trPr>
        <w:tc>
          <w:tcPr>
            <w:tcW w:w="3030" w:type="dxa"/>
          </w:tcPr>
          <w:p w14:paraId="429418F6" w14:textId="77777777" w:rsidR="00005FA9" w:rsidRPr="00E46857" w:rsidRDefault="00005FA9" w:rsidP="00CB7D38">
            <w:pPr>
              <w:spacing w:after="0" w:line="240" w:lineRule="auto"/>
              <w:rPr>
                <w:rFonts w:eastAsia="Calibri" w:cs="Arial"/>
                <w:color w:val="auto"/>
                <w:szCs w:val="24"/>
              </w:rPr>
            </w:pPr>
            <w:r w:rsidRPr="00E46857">
              <w:rPr>
                <w:rFonts w:eastAsia="Calibri" w:cs="Arial"/>
                <w:color w:val="auto"/>
                <w:szCs w:val="24"/>
              </w:rPr>
              <w:t>2017</w:t>
            </w:r>
          </w:p>
        </w:tc>
        <w:tc>
          <w:tcPr>
            <w:tcW w:w="3030" w:type="dxa"/>
          </w:tcPr>
          <w:p w14:paraId="468E7C18"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35</w:t>
            </w:r>
          </w:p>
        </w:tc>
        <w:tc>
          <w:tcPr>
            <w:tcW w:w="3030" w:type="dxa"/>
          </w:tcPr>
          <w:p w14:paraId="633B7FAE"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15</w:t>
            </w:r>
          </w:p>
        </w:tc>
      </w:tr>
      <w:tr w:rsidR="00005FA9" w:rsidRPr="00E46857" w14:paraId="7E910F22" w14:textId="77777777" w:rsidTr="00CB7D38">
        <w:trPr>
          <w:trHeight w:val="302"/>
        </w:trPr>
        <w:tc>
          <w:tcPr>
            <w:tcW w:w="3030" w:type="dxa"/>
          </w:tcPr>
          <w:p w14:paraId="59CBB283" w14:textId="77777777" w:rsidR="00005FA9" w:rsidRPr="00E46857" w:rsidRDefault="00005FA9" w:rsidP="00CB7D38">
            <w:pPr>
              <w:spacing w:after="0" w:line="240" w:lineRule="auto"/>
              <w:rPr>
                <w:rFonts w:eastAsia="Calibri" w:cs="Arial"/>
                <w:color w:val="auto"/>
                <w:szCs w:val="24"/>
              </w:rPr>
            </w:pPr>
            <w:r w:rsidRPr="00E46857">
              <w:rPr>
                <w:rFonts w:eastAsia="Calibri" w:cs="Arial"/>
                <w:color w:val="auto"/>
                <w:szCs w:val="24"/>
              </w:rPr>
              <w:t>2018</w:t>
            </w:r>
          </w:p>
        </w:tc>
        <w:tc>
          <w:tcPr>
            <w:tcW w:w="3030" w:type="dxa"/>
          </w:tcPr>
          <w:p w14:paraId="768C1F6E"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61</w:t>
            </w:r>
          </w:p>
        </w:tc>
        <w:tc>
          <w:tcPr>
            <w:tcW w:w="3030" w:type="dxa"/>
          </w:tcPr>
          <w:p w14:paraId="789EC8FA"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26</w:t>
            </w:r>
          </w:p>
        </w:tc>
      </w:tr>
      <w:tr w:rsidR="00005FA9" w:rsidRPr="00E46857" w14:paraId="406A6C77" w14:textId="77777777" w:rsidTr="00CB7D38">
        <w:trPr>
          <w:trHeight w:val="302"/>
        </w:trPr>
        <w:tc>
          <w:tcPr>
            <w:tcW w:w="3030" w:type="dxa"/>
          </w:tcPr>
          <w:p w14:paraId="1DFE9659" w14:textId="77777777" w:rsidR="00005FA9" w:rsidRPr="00E46857" w:rsidRDefault="00005FA9" w:rsidP="00CB7D38">
            <w:pPr>
              <w:spacing w:after="0" w:line="240" w:lineRule="auto"/>
              <w:rPr>
                <w:rFonts w:eastAsia="Calibri" w:cs="Arial"/>
                <w:color w:val="auto"/>
                <w:szCs w:val="24"/>
              </w:rPr>
            </w:pPr>
            <w:r w:rsidRPr="00E46857">
              <w:rPr>
                <w:rFonts w:eastAsia="Calibri" w:cs="Arial"/>
                <w:color w:val="auto"/>
                <w:szCs w:val="24"/>
              </w:rPr>
              <w:t>2019</w:t>
            </w:r>
          </w:p>
        </w:tc>
        <w:tc>
          <w:tcPr>
            <w:tcW w:w="3030" w:type="dxa"/>
          </w:tcPr>
          <w:p w14:paraId="4ADA85B6"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101</w:t>
            </w:r>
          </w:p>
        </w:tc>
        <w:tc>
          <w:tcPr>
            <w:tcW w:w="3030" w:type="dxa"/>
          </w:tcPr>
          <w:p w14:paraId="3C48657E"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24</w:t>
            </w:r>
          </w:p>
        </w:tc>
      </w:tr>
      <w:tr w:rsidR="00005FA9" w:rsidRPr="00E46857" w14:paraId="15C87723" w14:textId="77777777" w:rsidTr="00CB7D38">
        <w:trPr>
          <w:trHeight w:val="302"/>
        </w:trPr>
        <w:tc>
          <w:tcPr>
            <w:tcW w:w="3030" w:type="dxa"/>
          </w:tcPr>
          <w:p w14:paraId="4DCFD4F7" w14:textId="77777777" w:rsidR="00005FA9" w:rsidRPr="00E46857" w:rsidRDefault="00005FA9" w:rsidP="00CB7D38">
            <w:pPr>
              <w:spacing w:after="0" w:line="240" w:lineRule="auto"/>
              <w:rPr>
                <w:rFonts w:eastAsia="Calibri" w:cs="Arial"/>
                <w:color w:val="auto"/>
                <w:szCs w:val="24"/>
              </w:rPr>
            </w:pPr>
            <w:r w:rsidRPr="00E46857">
              <w:rPr>
                <w:rFonts w:eastAsia="Calibri" w:cs="Arial"/>
                <w:color w:val="auto"/>
                <w:szCs w:val="24"/>
              </w:rPr>
              <w:t>2020</w:t>
            </w:r>
          </w:p>
        </w:tc>
        <w:tc>
          <w:tcPr>
            <w:tcW w:w="3030" w:type="dxa"/>
          </w:tcPr>
          <w:p w14:paraId="3929E95D"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40</w:t>
            </w:r>
          </w:p>
        </w:tc>
        <w:tc>
          <w:tcPr>
            <w:tcW w:w="3030" w:type="dxa"/>
          </w:tcPr>
          <w:p w14:paraId="17EA6244"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25</w:t>
            </w:r>
          </w:p>
        </w:tc>
      </w:tr>
      <w:tr w:rsidR="00005FA9" w:rsidRPr="00E46857" w14:paraId="5178BF92" w14:textId="77777777" w:rsidTr="00CB7D38">
        <w:trPr>
          <w:trHeight w:val="302"/>
        </w:trPr>
        <w:tc>
          <w:tcPr>
            <w:tcW w:w="3030" w:type="dxa"/>
          </w:tcPr>
          <w:p w14:paraId="468F488A" w14:textId="77777777" w:rsidR="00005FA9" w:rsidRPr="00E46857" w:rsidRDefault="00005FA9" w:rsidP="00CB7D38">
            <w:pPr>
              <w:spacing w:after="0" w:line="240" w:lineRule="auto"/>
              <w:rPr>
                <w:rFonts w:eastAsia="Calibri" w:cs="Arial"/>
                <w:color w:val="auto"/>
                <w:szCs w:val="24"/>
              </w:rPr>
            </w:pPr>
            <w:r w:rsidRPr="00E46857">
              <w:rPr>
                <w:rFonts w:eastAsia="Calibri" w:cs="Arial"/>
                <w:color w:val="auto"/>
                <w:szCs w:val="24"/>
              </w:rPr>
              <w:t>2021</w:t>
            </w:r>
          </w:p>
        </w:tc>
        <w:tc>
          <w:tcPr>
            <w:tcW w:w="3030" w:type="dxa"/>
          </w:tcPr>
          <w:p w14:paraId="01DEB346"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18</w:t>
            </w:r>
          </w:p>
        </w:tc>
        <w:tc>
          <w:tcPr>
            <w:tcW w:w="3030" w:type="dxa"/>
          </w:tcPr>
          <w:p w14:paraId="57902F70" w14:textId="77777777" w:rsidR="00005FA9" w:rsidRPr="00E46857" w:rsidRDefault="00005FA9" w:rsidP="00CB7D38">
            <w:pPr>
              <w:spacing w:after="0" w:line="240" w:lineRule="auto"/>
              <w:jc w:val="right"/>
              <w:rPr>
                <w:rFonts w:eastAsia="Calibri" w:cs="Arial"/>
                <w:color w:val="auto"/>
                <w:szCs w:val="24"/>
              </w:rPr>
            </w:pPr>
            <w:r w:rsidRPr="00E46857">
              <w:rPr>
                <w:rFonts w:eastAsia="Calibri" w:cs="Arial"/>
                <w:color w:val="auto"/>
                <w:szCs w:val="24"/>
              </w:rPr>
              <w:t>6</w:t>
            </w:r>
          </w:p>
        </w:tc>
      </w:tr>
    </w:tbl>
    <w:p w14:paraId="205A1364" w14:textId="77777777" w:rsidR="00005FA9" w:rsidRPr="00DB363F" w:rsidRDefault="00005FA9" w:rsidP="00005FA9">
      <w:pPr>
        <w:spacing w:after="0"/>
        <w:rPr>
          <w:rFonts w:eastAsia="Calibri" w:cs="Arial"/>
          <w:b/>
          <w:bCs/>
          <w:color w:val="1F497D"/>
          <w:szCs w:val="24"/>
        </w:rPr>
      </w:pPr>
    </w:p>
    <w:p w14:paraId="17CABD40" w14:textId="77777777" w:rsidR="000655A8" w:rsidRDefault="00DD3AD8" w:rsidP="000655A8">
      <w:pPr>
        <w:pStyle w:val="Heading3"/>
      </w:pPr>
      <w:bookmarkStart w:id="294" w:name="_Toc133076280"/>
      <w:r>
        <w:t xml:space="preserve">Parliamentary Written </w:t>
      </w:r>
      <w:r w:rsidR="007759AF">
        <w:t>Questi</w:t>
      </w:r>
      <w:r>
        <w:t xml:space="preserve">on </w:t>
      </w:r>
      <w:r w:rsidR="00116DC6" w:rsidRPr="00116DC6">
        <w:t>26088 (2021)</w:t>
      </w:r>
      <w:bookmarkEnd w:id="294"/>
    </w:p>
    <w:p w14:paraId="0FB75E65" w14:textId="602526BF" w:rsidR="00116DC6" w:rsidRPr="00116DC6" w:rsidRDefault="00116DC6" w:rsidP="00904B53">
      <w:r w:rsidRPr="00116DC6">
        <w:t xml:space="preserve">Jan Logie to the Minister for Disability Issues (22 Jun 2021): How many self-employed </w:t>
      </w:r>
      <w:r w:rsidR="00E12939">
        <w:t>J</w:t>
      </w:r>
      <w:r w:rsidRPr="00116DC6">
        <w:t xml:space="preserve">ob </w:t>
      </w:r>
      <w:r w:rsidR="00E12939">
        <w:t>S</w:t>
      </w:r>
      <w:r w:rsidRPr="00116DC6">
        <w:t>upport fund applications have been approved for partial funding each year for the last ten years?</w:t>
      </w:r>
      <w:r w:rsidR="00D83EFB" w:rsidRPr="00D83EFB">
        <w:rPr>
          <w:rStyle w:val="EndnoteReference"/>
          <w:b/>
          <w:bCs/>
        </w:rPr>
        <w:t xml:space="preserve"> </w:t>
      </w:r>
      <w:r w:rsidR="00D83EFB" w:rsidRPr="00116DC6">
        <w:t>Hon Carmel Sepuloni (Minister for Disability Issues) replied</w:t>
      </w:r>
      <w:r w:rsidR="00D83EFB">
        <w:rPr>
          <w:b/>
        </w:rPr>
        <w:t>.</w:t>
      </w:r>
      <w:r w:rsidR="00D83EFB">
        <w:rPr>
          <w:rStyle w:val="EndnoteReference"/>
          <w:bCs/>
        </w:rPr>
        <w:endnoteReference w:id="44"/>
      </w:r>
    </w:p>
    <w:p w14:paraId="797B0786" w14:textId="4CCA42C5" w:rsidR="00DA0637" w:rsidRPr="00DA0637" w:rsidRDefault="00D83EFB" w:rsidP="00BF0756">
      <w:pPr>
        <w:pStyle w:val="Caption"/>
      </w:pPr>
      <w:r>
        <w:t>Table 1 (</w:t>
      </w:r>
      <w:r w:rsidR="00DA0637">
        <w:t>26088</w:t>
      </w:r>
      <w:r>
        <w:t xml:space="preserve">): </w:t>
      </w:r>
      <w:r w:rsidR="00BF0756">
        <w:t>T</w:t>
      </w:r>
      <w:r w:rsidR="00BF0756" w:rsidRPr="00BF0756">
        <w:t xml:space="preserve">he number of applications for self-employed </w:t>
      </w:r>
      <w:r w:rsidR="00E12939">
        <w:t>J</w:t>
      </w:r>
      <w:r w:rsidR="00BF0756" w:rsidRPr="00BF0756">
        <w:t xml:space="preserve">ob </w:t>
      </w:r>
      <w:r w:rsidR="00E12939">
        <w:t>S</w:t>
      </w:r>
      <w:r w:rsidR="00BF0756" w:rsidRPr="00BF0756">
        <w:t xml:space="preserve">upport funding where some assistance was approved and some assistance was declined or required a personal contribution from the applicant </w:t>
      </w:r>
      <w:r w:rsidR="00DA0637">
        <w:t>over the past ten years.</w:t>
      </w:r>
    </w:p>
    <w:tbl>
      <w:tblPr>
        <w:tblStyle w:val="TableGrid"/>
        <w:tblpPr w:leftFromText="180" w:rightFromText="180" w:vertAnchor="text" w:tblpY="1"/>
        <w:tblOverlap w:val="never"/>
        <w:tblW w:w="0" w:type="auto"/>
        <w:tblLayout w:type="fixed"/>
        <w:tblLook w:val="06A0" w:firstRow="1" w:lastRow="0" w:firstColumn="1" w:lastColumn="0" w:noHBand="1" w:noVBand="1"/>
      </w:tblPr>
      <w:tblGrid>
        <w:gridCol w:w="3045"/>
        <w:gridCol w:w="3046"/>
      </w:tblGrid>
      <w:tr w:rsidR="00EC5D41" w:rsidRPr="00E46857" w14:paraId="780F4F0B" w14:textId="77777777" w:rsidTr="00622C77">
        <w:trPr>
          <w:trHeight w:val="251"/>
        </w:trPr>
        <w:tc>
          <w:tcPr>
            <w:tcW w:w="3045" w:type="dxa"/>
            <w:shd w:val="clear" w:color="auto" w:fill="auto"/>
          </w:tcPr>
          <w:p w14:paraId="7D931EB3" w14:textId="77777777" w:rsidR="00EC5D41" w:rsidRPr="00E62FEA" w:rsidRDefault="00EC5D41" w:rsidP="00622C77">
            <w:pPr>
              <w:spacing w:after="0" w:line="240" w:lineRule="auto"/>
              <w:rPr>
                <w:rFonts w:eastAsia="Calibri" w:cs="Arial"/>
                <w:b/>
                <w:bCs/>
                <w:color w:val="auto"/>
                <w:szCs w:val="24"/>
              </w:rPr>
            </w:pPr>
            <w:r w:rsidRPr="00E62FEA">
              <w:rPr>
                <w:rFonts w:eastAsia="Calibri" w:cs="Arial"/>
                <w:b/>
                <w:bCs/>
                <w:color w:val="auto"/>
                <w:szCs w:val="24"/>
              </w:rPr>
              <w:t>Financial year</w:t>
            </w:r>
          </w:p>
        </w:tc>
        <w:tc>
          <w:tcPr>
            <w:tcW w:w="3046" w:type="dxa"/>
            <w:shd w:val="clear" w:color="auto" w:fill="auto"/>
          </w:tcPr>
          <w:p w14:paraId="100DAF6B" w14:textId="77777777" w:rsidR="00EC5D41" w:rsidRPr="00E62FEA" w:rsidRDefault="00EC5D41" w:rsidP="00622C77">
            <w:pPr>
              <w:spacing w:after="0" w:line="240" w:lineRule="auto"/>
              <w:rPr>
                <w:rFonts w:cs="Arial"/>
                <w:b/>
                <w:bCs/>
                <w:color w:val="auto"/>
                <w:szCs w:val="24"/>
              </w:rPr>
            </w:pPr>
            <w:r w:rsidRPr="00E62FEA">
              <w:rPr>
                <w:rFonts w:eastAsia="Calibri" w:cs="Arial"/>
                <w:b/>
                <w:bCs/>
                <w:color w:val="auto"/>
                <w:szCs w:val="24"/>
              </w:rPr>
              <w:t>Totals</w:t>
            </w:r>
          </w:p>
        </w:tc>
      </w:tr>
      <w:tr w:rsidR="00EC5D41" w:rsidRPr="00E46857" w14:paraId="29A6CF58" w14:textId="77777777" w:rsidTr="00622C77">
        <w:trPr>
          <w:trHeight w:val="251"/>
        </w:trPr>
        <w:tc>
          <w:tcPr>
            <w:tcW w:w="3045" w:type="dxa"/>
          </w:tcPr>
          <w:p w14:paraId="7E585B85" w14:textId="77777777" w:rsidR="00EC5D41" w:rsidRPr="00E46857" w:rsidRDefault="00EC5D41" w:rsidP="00622C77">
            <w:pPr>
              <w:spacing w:after="0" w:line="240" w:lineRule="auto"/>
              <w:rPr>
                <w:rFonts w:eastAsia="Calibri" w:cs="Arial"/>
                <w:color w:val="auto"/>
                <w:szCs w:val="24"/>
              </w:rPr>
            </w:pPr>
            <w:r w:rsidRPr="00E46857">
              <w:rPr>
                <w:rFonts w:eastAsia="Calibri" w:cs="Arial"/>
                <w:color w:val="auto"/>
                <w:szCs w:val="24"/>
              </w:rPr>
              <w:t>2010/11</w:t>
            </w:r>
          </w:p>
        </w:tc>
        <w:tc>
          <w:tcPr>
            <w:tcW w:w="3046" w:type="dxa"/>
          </w:tcPr>
          <w:p w14:paraId="1EBBE758" w14:textId="77777777" w:rsidR="00EC5D41" w:rsidRPr="00E46857" w:rsidRDefault="00EC5D41" w:rsidP="00622C77">
            <w:pPr>
              <w:spacing w:after="0" w:line="240" w:lineRule="auto"/>
              <w:jc w:val="right"/>
              <w:rPr>
                <w:rFonts w:cs="Arial"/>
                <w:color w:val="auto"/>
                <w:szCs w:val="24"/>
              </w:rPr>
            </w:pPr>
            <w:r w:rsidRPr="00E46857">
              <w:rPr>
                <w:rFonts w:eastAsia="Calibri" w:cs="Arial"/>
                <w:color w:val="auto"/>
                <w:szCs w:val="24"/>
              </w:rPr>
              <w:t>0</w:t>
            </w:r>
          </w:p>
        </w:tc>
      </w:tr>
      <w:tr w:rsidR="00EC5D41" w:rsidRPr="00E46857" w14:paraId="1F421656" w14:textId="77777777" w:rsidTr="00622C77">
        <w:trPr>
          <w:trHeight w:val="269"/>
        </w:trPr>
        <w:tc>
          <w:tcPr>
            <w:tcW w:w="3045" w:type="dxa"/>
          </w:tcPr>
          <w:p w14:paraId="7F6D3B88" w14:textId="77777777" w:rsidR="00EC5D41" w:rsidRPr="00E46857" w:rsidRDefault="00EC5D41" w:rsidP="00622C77">
            <w:pPr>
              <w:spacing w:after="0" w:line="240" w:lineRule="auto"/>
              <w:rPr>
                <w:rFonts w:eastAsia="Calibri" w:cs="Arial"/>
                <w:color w:val="auto"/>
                <w:szCs w:val="24"/>
              </w:rPr>
            </w:pPr>
            <w:r w:rsidRPr="00E46857">
              <w:rPr>
                <w:rFonts w:eastAsia="Calibri" w:cs="Arial"/>
                <w:color w:val="auto"/>
                <w:szCs w:val="24"/>
              </w:rPr>
              <w:t>2011/12</w:t>
            </w:r>
          </w:p>
        </w:tc>
        <w:tc>
          <w:tcPr>
            <w:tcW w:w="3046" w:type="dxa"/>
          </w:tcPr>
          <w:p w14:paraId="1C91C512" w14:textId="77777777" w:rsidR="00EC5D41" w:rsidRPr="00E46857" w:rsidRDefault="00EC5D41" w:rsidP="00622C77">
            <w:pPr>
              <w:spacing w:after="0" w:line="240" w:lineRule="auto"/>
              <w:jc w:val="right"/>
              <w:rPr>
                <w:rFonts w:eastAsia="Calibri" w:cs="Arial"/>
                <w:color w:val="auto"/>
                <w:szCs w:val="24"/>
              </w:rPr>
            </w:pPr>
            <w:r w:rsidRPr="00E46857">
              <w:rPr>
                <w:rFonts w:eastAsia="Calibri" w:cs="Arial"/>
                <w:color w:val="auto"/>
                <w:szCs w:val="24"/>
              </w:rPr>
              <w:t>0</w:t>
            </w:r>
          </w:p>
        </w:tc>
      </w:tr>
      <w:tr w:rsidR="00EC5D41" w:rsidRPr="00E46857" w14:paraId="26592370" w14:textId="77777777" w:rsidTr="00622C77">
        <w:trPr>
          <w:trHeight w:val="251"/>
        </w:trPr>
        <w:tc>
          <w:tcPr>
            <w:tcW w:w="3045" w:type="dxa"/>
          </w:tcPr>
          <w:p w14:paraId="455FB011" w14:textId="77777777" w:rsidR="00EC5D41" w:rsidRPr="00E46857" w:rsidRDefault="00EC5D41" w:rsidP="00622C77">
            <w:pPr>
              <w:spacing w:after="0" w:line="240" w:lineRule="auto"/>
              <w:rPr>
                <w:rFonts w:eastAsia="Calibri" w:cs="Arial"/>
                <w:color w:val="auto"/>
                <w:szCs w:val="24"/>
              </w:rPr>
            </w:pPr>
            <w:r w:rsidRPr="00E46857">
              <w:rPr>
                <w:rFonts w:eastAsia="Calibri" w:cs="Arial"/>
                <w:color w:val="auto"/>
                <w:szCs w:val="24"/>
              </w:rPr>
              <w:t>2012/13</w:t>
            </w:r>
          </w:p>
        </w:tc>
        <w:tc>
          <w:tcPr>
            <w:tcW w:w="3046" w:type="dxa"/>
          </w:tcPr>
          <w:p w14:paraId="02F25951" w14:textId="77777777" w:rsidR="00EC5D41" w:rsidRPr="00E46857" w:rsidRDefault="00EC5D41" w:rsidP="00622C77">
            <w:pPr>
              <w:spacing w:after="0" w:line="240" w:lineRule="auto"/>
              <w:jc w:val="right"/>
              <w:rPr>
                <w:rFonts w:eastAsia="Calibri" w:cs="Arial"/>
                <w:color w:val="auto"/>
                <w:szCs w:val="24"/>
              </w:rPr>
            </w:pPr>
            <w:r w:rsidRPr="00E46857">
              <w:rPr>
                <w:rFonts w:eastAsia="Calibri" w:cs="Arial"/>
                <w:color w:val="auto"/>
                <w:szCs w:val="24"/>
              </w:rPr>
              <w:t>5</w:t>
            </w:r>
          </w:p>
        </w:tc>
      </w:tr>
      <w:tr w:rsidR="00EC5D41" w:rsidRPr="00E46857" w14:paraId="525FA07F" w14:textId="77777777" w:rsidTr="00622C77">
        <w:trPr>
          <w:trHeight w:val="251"/>
        </w:trPr>
        <w:tc>
          <w:tcPr>
            <w:tcW w:w="3045" w:type="dxa"/>
          </w:tcPr>
          <w:p w14:paraId="44B13D35" w14:textId="77777777" w:rsidR="00EC5D41" w:rsidRPr="00E46857" w:rsidRDefault="00EC5D41" w:rsidP="00622C77">
            <w:pPr>
              <w:spacing w:after="0" w:line="240" w:lineRule="auto"/>
              <w:rPr>
                <w:rFonts w:eastAsia="Calibri" w:cs="Arial"/>
                <w:color w:val="auto"/>
                <w:szCs w:val="24"/>
              </w:rPr>
            </w:pPr>
            <w:r w:rsidRPr="00E46857">
              <w:rPr>
                <w:rFonts w:eastAsia="Calibri" w:cs="Arial"/>
                <w:color w:val="auto"/>
                <w:szCs w:val="24"/>
              </w:rPr>
              <w:t>2013/14</w:t>
            </w:r>
          </w:p>
        </w:tc>
        <w:tc>
          <w:tcPr>
            <w:tcW w:w="3046" w:type="dxa"/>
          </w:tcPr>
          <w:p w14:paraId="5E85E99A" w14:textId="77777777" w:rsidR="00EC5D41" w:rsidRPr="00E46857" w:rsidRDefault="00EC5D41" w:rsidP="00622C77">
            <w:pPr>
              <w:spacing w:after="0" w:line="240" w:lineRule="auto"/>
              <w:jc w:val="right"/>
              <w:rPr>
                <w:rFonts w:eastAsia="Calibri" w:cs="Arial"/>
                <w:color w:val="auto"/>
                <w:szCs w:val="24"/>
              </w:rPr>
            </w:pPr>
            <w:r w:rsidRPr="00E46857">
              <w:rPr>
                <w:rFonts w:eastAsia="Calibri" w:cs="Arial"/>
                <w:color w:val="auto"/>
                <w:szCs w:val="24"/>
              </w:rPr>
              <w:t>8</w:t>
            </w:r>
          </w:p>
        </w:tc>
      </w:tr>
      <w:tr w:rsidR="00EC5D41" w:rsidRPr="00E46857" w14:paraId="5FF076A1" w14:textId="77777777" w:rsidTr="00622C77">
        <w:trPr>
          <w:trHeight w:val="251"/>
        </w:trPr>
        <w:tc>
          <w:tcPr>
            <w:tcW w:w="3045" w:type="dxa"/>
          </w:tcPr>
          <w:p w14:paraId="399D0307" w14:textId="77777777" w:rsidR="00EC5D41" w:rsidRPr="00E46857" w:rsidRDefault="00EC5D41" w:rsidP="00622C77">
            <w:pPr>
              <w:spacing w:after="0" w:line="240" w:lineRule="auto"/>
              <w:rPr>
                <w:rFonts w:eastAsia="Calibri" w:cs="Arial"/>
                <w:color w:val="auto"/>
                <w:szCs w:val="24"/>
              </w:rPr>
            </w:pPr>
            <w:r w:rsidRPr="00E46857">
              <w:rPr>
                <w:rFonts w:eastAsia="Calibri" w:cs="Arial"/>
                <w:color w:val="auto"/>
                <w:szCs w:val="24"/>
              </w:rPr>
              <w:t>2014/15</w:t>
            </w:r>
          </w:p>
        </w:tc>
        <w:tc>
          <w:tcPr>
            <w:tcW w:w="3046" w:type="dxa"/>
          </w:tcPr>
          <w:p w14:paraId="5789E3AE" w14:textId="77777777" w:rsidR="00EC5D41" w:rsidRPr="00E46857" w:rsidRDefault="00EC5D41" w:rsidP="00622C77">
            <w:pPr>
              <w:spacing w:after="0" w:line="240" w:lineRule="auto"/>
              <w:jc w:val="right"/>
              <w:rPr>
                <w:rFonts w:eastAsia="Calibri" w:cs="Arial"/>
                <w:color w:val="auto"/>
                <w:szCs w:val="24"/>
              </w:rPr>
            </w:pPr>
            <w:r w:rsidRPr="00E46857">
              <w:rPr>
                <w:rFonts w:eastAsia="Calibri" w:cs="Arial"/>
                <w:color w:val="auto"/>
                <w:szCs w:val="24"/>
              </w:rPr>
              <w:t>2</w:t>
            </w:r>
          </w:p>
        </w:tc>
      </w:tr>
      <w:tr w:rsidR="00EC5D41" w:rsidRPr="00E46857" w14:paraId="48AE0A24" w14:textId="77777777" w:rsidTr="00622C77">
        <w:trPr>
          <w:trHeight w:val="251"/>
        </w:trPr>
        <w:tc>
          <w:tcPr>
            <w:tcW w:w="3045" w:type="dxa"/>
          </w:tcPr>
          <w:p w14:paraId="2703F853" w14:textId="77777777" w:rsidR="00EC5D41" w:rsidRPr="00E46857" w:rsidRDefault="00EC5D41" w:rsidP="00622C77">
            <w:pPr>
              <w:spacing w:after="0" w:line="240" w:lineRule="auto"/>
              <w:rPr>
                <w:rFonts w:eastAsia="Calibri" w:cs="Arial"/>
                <w:color w:val="auto"/>
                <w:szCs w:val="24"/>
              </w:rPr>
            </w:pPr>
            <w:r w:rsidRPr="00E46857">
              <w:rPr>
                <w:rFonts w:eastAsia="Calibri" w:cs="Arial"/>
                <w:color w:val="auto"/>
                <w:szCs w:val="24"/>
              </w:rPr>
              <w:t>2015/16</w:t>
            </w:r>
          </w:p>
        </w:tc>
        <w:tc>
          <w:tcPr>
            <w:tcW w:w="3046" w:type="dxa"/>
          </w:tcPr>
          <w:p w14:paraId="5E5A48F7" w14:textId="77777777" w:rsidR="00EC5D41" w:rsidRPr="00E46857" w:rsidRDefault="00EC5D41" w:rsidP="00622C77">
            <w:pPr>
              <w:spacing w:after="0" w:line="240" w:lineRule="auto"/>
              <w:jc w:val="right"/>
              <w:rPr>
                <w:rFonts w:eastAsia="Calibri" w:cs="Arial"/>
                <w:color w:val="auto"/>
                <w:szCs w:val="24"/>
              </w:rPr>
            </w:pPr>
            <w:r w:rsidRPr="00E46857">
              <w:rPr>
                <w:rFonts w:eastAsia="Calibri" w:cs="Arial"/>
                <w:color w:val="auto"/>
                <w:szCs w:val="24"/>
              </w:rPr>
              <w:t>4</w:t>
            </w:r>
          </w:p>
        </w:tc>
      </w:tr>
      <w:tr w:rsidR="00EC5D41" w:rsidRPr="00E46857" w14:paraId="6E7283D1" w14:textId="77777777" w:rsidTr="00622C77">
        <w:trPr>
          <w:trHeight w:val="251"/>
        </w:trPr>
        <w:tc>
          <w:tcPr>
            <w:tcW w:w="3045" w:type="dxa"/>
          </w:tcPr>
          <w:p w14:paraId="57C7DBD2" w14:textId="77777777" w:rsidR="00EC5D41" w:rsidRPr="00E46857" w:rsidRDefault="00EC5D41" w:rsidP="00622C77">
            <w:pPr>
              <w:spacing w:after="0" w:line="240" w:lineRule="auto"/>
              <w:rPr>
                <w:rFonts w:eastAsia="Calibri" w:cs="Arial"/>
                <w:color w:val="auto"/>
                <w:szCs w:val="24"/>
              </w:rPr>
            </w:pPr>
            <w:r w:rsidRPr="00E46857">
              <w:rPr>
                <w:rFonts w:eastAsia="Calibri" w:cs="Arial"/>
                <w:color w:val="auto"/>
                <w:szCs w:val="24"/>
              </w:rPr>
              <w:t>2016/17</w:t>
            </w:r>
          </w:p>
        </w:tc>
        <w:tc>
          <w:tcPr>
            <w:tcW w:w="3046" w:type="dxa"/>
          </w:tcPr>
          <w:p w14:paraId="2948F1D7" w14:textId="77777777" w:rsidR="00EC5D41" w:rsidRPr="00E46857" w:rsidRDefault="00EC5D41" w:rsidP="00622C77">
            <w:pPr>
              <w:spacing w:after="0" w:line="240" w:lineRule="auto"/>
              <w:jc w:val="right"/>
              <w:rPr>
                <w:rFonts w:eastAsia="Calibri" w:cs="Arial"/>
                <w:color w:val="auto"/>
                <w:szCs w:val="24"/>
              </w:rPr>
            </w:pPr>
            <w:r w:rsidRPr="00E46857">
              <w:rPr>
                <w:rFonts w:eastAsia="Calibri" w:cs="Arial"/>
                <w:color w:val="auto"/>
                <w:szCs w:val="24"/>
              </w:rPr>
              <w:t>3</w:t>
            </w:r>
          </w:p>
        </w:tc>
      </w:tr>
      <w:tr w:rsidR="00EC5D41" w:rsidRPr="00E46857" w14:paraId="3A23FCED" w14:textId="77777777" w:rsidTr="00622C77">
        <w:trPr>
          <w:trHeight w:val="269"/>
        </w:trPr>
        <w:tc>
          <w:tcPr>
            <w:tcW w:w="3045" w:type="dxa"/>
          </w:tcPr>
          <w:p w14:paraId="3A37EA67" w14:textId="77777777" w:rsidR="00EC5D41" w:rsidRPr="00E46857" w:rsidRDefault="00EC5D41" w:rsidP="00622C77">
            <w:pPr>
              <w:spacing w:after="0" w:line="240" w:lineRule="auto"/>
              <w:rPr>
                <w:rFonts w:eastAsia="Calibri" w:cs="Arial"/>
                <w:color w:val="auto"/>
                <w:szCs w:val="24"/>
              </w:rPr>
            </w:pPr>
            <w:r w:rsidRPr="00E46857">
              <w:rPr>
                <w:rFonts w:eastAsia="Calibri" w:cs="Arial"/>
                <w:color w:val="auto"/>
                <w:szCs w:val="24"/>
              </w:rPr>
              <w:t>2017/18</w:t>
            </w:r>
          </w:p>
        </w:tc>
        <w:tc>
          <w:tcPr>
            <w:tcW w:w="3046" w:type="dxa"/>
          </w:tcPr>
          <w:p w14:paraId="0E284677" w14:textId="77777777" w:rsidR="00EC5D41" w:rsidRPr="00E46857" w:rsidRDefault="00EC5D41" w:rsidP="00622C77">
            <w:pPr>
              <w:spacing w:after="0" w:line="240" w:lineRule="auto"/>
              <w:jc w:val="right"/>
              <w:rPr>
                <w:rFonts w:eastAsia="Calibri" w:cs="Arial"/>
                <w:color w:val="auto"/>
                <w:szCs w:val="24"/>
              </w:rPr>
            </w:pPr>
            <w:r w:rsidRPr="00E46857">
              <w:rPr>
                <w:rFonts w:eastAsia="Calibri" w:cs="Arial"/>
                <w:color w:val="auto"/>
                <w:szCs w:val="24"/>
              </w:rPr>
              <w:t>2</w:t>
            </w:r>
          </w:p>
        </w:tc>
      </w:tr>
      <w:tr w:rsidR="00EC5D41" w:rsidRPr="00E46857" w14:paraId="768B75F6" w14:textId="77777777" w:rsidTr="00622C77">
        <w:trPr>
          <w:trHeight w:val="251"/>
        </w:trPr>
        <w:tc>
          <w:tcPr>
            <w:tcW w:w="3045" w:type="dxa"/>
          </w:tcPr>
          <w:p w14:paraId="11AAE4B2" w14:textId="77777777" w:rsidR="00EC5D41" w:rsidRPr="00E46857" w:rsidRDefault="00EC5D41" w:rsidP="00622C77">
            <w:pPr>
              <w:spacing w:after="0" w:line="240" w:lineRule="auto"/>
              <w:rPr>
                <w:rFonts w:eastAsia="Calibri" w:cs="Arial"/>
                <w:color w:val="auto"/>
                <w:szCs w:val="24"/>
              </w:rPr>
            </w:pPr>
            <w:r w:rsidRPr="00E46857">
              <w:rPr>
                <w:rFonts w:eastAsia="Calibri" w:cs="Arial"/>
                <w:color w:val="auto"/>
                <w:szCs w:val="24"/>
              </w:rPr>
              <w:t>2018/19</w:t>
            </w:r>
          </w:p>
        </w:tc>
        <w:tc>
          <w:tcPr>
            <w:tcW w:w="3046" w:type="dxa"/>
          </w:tcPr>
          <w:p w14:paraId="641436E9" w14:textId="77777777" w:rsidR="00EC5D41" w:rsidRPr="00E46857" w:rsidRDefault="00EC5D41" w:rsidP="00622C77">
            <w:pPr>
              <w:spacing w:after="0" w:line="240" w:lineRule="auto"/>
              <w:jc w:val="right"/>
              <w:rPr>
                <w:rFonts w:eastAsia="Calibri" w:cs="Arial"/>
                <w:color w:val="auto"/>
                <w:szCs w:val="24"/>
              </w:rPr>
            </w:pPr>
            <w:r w:rsidRPr="00E46857">
              <w:rPr>
                <w:rFonts w:eastAsia="Calibri" w:cs="Arial"/>
                <w:color w:val="auto"/>
                <w:szCs w:val="24"/>
              </w:rPr>
              <w:t>7</w:t>
            </w:r>
          </w:p>
        </w:tc>
      </w:tr>
      <w:tr w:rsidR="00EC5D41" w:rsidRPr="00E46857" w14:paraId="61923C7B" w14:textId="77777777" w:rsidTr="00622C77">
        <w:trPr>
          <w:trHeight w:val="251"/>
        </w:trPr>
        <w:tc>
          <w:tcPr>
            <w:tcW w:w="3045" w:type="dxa"/>
          </w:tcPr>
          <w:p w14:paraId="5F395F18" w14:textId="77777777" w:rsidR="00EC5D41" w:rsidRPr="00E46857" w:rsidRDefault="00EC5D41" w:rsidP="00622C77">
            <w:pPr>
              <w:spacing w:after="0" w:line="240" w:lineRule="auto"/>
              <w:rPr>
                <w:rFonts w:eastAsia="Calibri" w:cs="Arial"/>
                <w:color w:val="auto"/>
                <w:szCs w:val="24"/>
              </w:rPr>
            </w:pPr>
            <w:r w:rsidRPr="00E46857">
              <w:rPr>
                <w:rFonts w:eastAsia="Calibri" w:cs="Arial"/>
                <w:color w:val="auto"/>
                <w:szCs w:val="24"/>
              </w:rPr>
              <w:t>2019/20</w:t>
            </w:r>
          </w:p>
        </w:tc>
        <w:tc>
          <w:tcPr>
            <w:tcW w:w="3046" w:type="dxa"/>
          </w:tcPr>
          <w:p w14:paraId="3701F7F5" w14:textId="77777777" w:rsidR="00EC5D41" w:rsidRPr="00E46857" w:rsidRDefault="00EC5D41" w:rsidP="00622C77">
            <w:pPr>
              <w:spacing w:after="0" w:line="240" w:lineRule="auto"/>
              <w:jc w:val="right"/>
              <w:rPr>
                <w:rFonts w:eastAsia="Calibri" w:cs="Arial"/>
                <w:color w:val="auto"/>
                <w:szCs w:val="24"/>
              </w:rPr>
            </w:pPr>
            <w:r w:rsidRPr="00E46857">
              <w:rPr>
                <w:rFonts w:eastAsia="Calibri" w:cs="Arial"/>
                <w:color w:val="auto"/>
                <w:szCs w:val="24"/>
              </w:rPr>
              <w:t>0</w:t>
            </w:r>
          </w:p>
        </w:tc>
      </w:tr>
      <w:tr w:rsidR="00EC5D41" w:rsidRPr="00E46857" w14:paraId="08353D41" w14:textId="77777777" w:rsidTr="00622C77">
        <w:trPr>
          <w:trHeight w:val="251"/>
        </w:trPr>
        <w:tc>
          <w:tcPr>
            <w:tcW w:w="3045" w:type="dxa"/>
          </w:tcPr>
          <w:p w14:paraId="422729A7" w14:textId="77777777" w:rsidR="00EC5D41" w:rsidRPr="00E46857" w:rsidRDefault="00EC5D41" w:rsidP="00622C77">
            <w:pPr>
              <w:spacing w:after="0" w:line="240" w:lineRule="auto"/>
              <w:rPr>
                <w:rFonts w:eastAsia="Calibri" w:cs="Arial"/>
                <w:color w:val="auto"/>
                <w:szCs w:val="24"/>
              </w:rPr>
            </w:pPr>
            <w:r w:rsidRPr="00E46857">
              <w:rPr>
                <w:rFonts w:eastAsia="Calibri" w:cs="Arial"/>
                <w:color w:val="auto"/>
                <w:szCs w:val="24"/>
              </w:rPr>
              <w:t>2020/21</w:t>
            </w:r>
          </w:p>
        </w:tc>
        <w:tc>
          <w:tcPr>
            <w:tcW w:w="3046" w:type="dxa"/>
          </w:tcPr>
          <w:p w14:paraId="7375C5E1" w14:textId="77777777" w:rsidR="00EC5D41" w:rsidRPr="00E46857" w:rsidRDefault="00EC5D41" w:rsidP="00622C77">
            <w:pPr>
              <w:spacing w:after="0" w:line="240" w:lineRule="auto"/>
              <w:jc w:val="right"/>
              <w:rPr>
                <w:rFonts w:eastAsia="Calibri" w:cs="Arial"/>
                <w:color w:val="auto"/>
                <w:szCs w:val="24"/>
              </w:rPr>
            </w:pPr>
            <w:r w:rsidRPr="00E46857">
              <w:rPr>
                <w:rFonts w:eastAsia="Calibri" w:cs="Arial"/>
                <w:color w:val="auto"/>
                <w:szCs w:val="24"/>
              </w:rPr>
              <w:t>0</w:t>
            </w:r>
          </w:p>
        </w:tc>
      </w:tr>
    </w:tbl>
    <w:p w14:paraId="46C3F440" w14:textId="77777777" w:rsidR="00622C77" w:rsidRDefault="00622C77" w:rsidP="000D0FC1">
      <w:pPr>
        <w:spacing w:after="0"/>
      </w:pPr>
    </w:p>
    <w:p w14:paraId="108B478B" w14:textId="77777777" w:rsidR="00622C77" w:rsidRPr="00622C77" w:rsidRDefault="00622C77" w:rsidP="00622C77"/>
    <w:p w14:paraId="3D0A0B48" w14:textId="77777777" w:rsidR="00622C77" w:rsidRPr="00622C77" w:rsidRDefault="00622C77" w:rsidP="00622C77"/>
    <w:p w14:paraId="7F47F5F6" w14:textId="77777777" w:rsidR="00622C77" w:rsidRDefault="00622C77" w:rsidP="000D0FC1">
      <w:pPr>
        <w:spacing w:after="0"/>
      </w:pPr>
    </w:p>
    <w:p w14:paraId="3F4003D6" w14:textId="77777777" w:rsidR="00622C77" w:rsidRDefault="00622C77" w:rsidP="000D0FC1">
      <w:pPr>
        <w:spacing w:after="0"/>
      </w:pPr>
    </w:p>
    <w:p w14:paraId="30782644" w14:textId="7C666046" w:rsidR="0071390B" w:rsidRDefault="00622C77" w:rsidP="0071390B">
      <w:pPr>
        <w:tabs>
          <w:tab w:val="center" w:pos="1372"/>
        </w:tabs>
        <w:spacing w:after="0"/>
      </w:pPr>
      <w:r>
        <w:br w:type="textWrapping" w:clear="all"/>
      </w:r>
    </w:p>
    <w:p w14:paraId="49B35EC3" w14:textId="77777777" w:rsidR="000655A8" w:rsidRDefault="000655A8" w:rsidP="000655A8">
      <w:pPr>
        <w:pStyle w:val="Heading3"/>
      </w:pPr>
      <w:bookmarkStart w:id="295" w:name="_Toc133076281"/>
      <w:r>
        <w:lastRenderedPageBreak/>
        <w:t xml:space="preserve">Parliamentary Written Question </w:t>
      </w:r>
      <w:r w:rsidR="00230F01" w:rsidRPr="00230F01">
        <w:t>26089 (2021)</w:t>
      </w:r>
      <w:bookmarkEnd w:id="295"/>
    </w:p>
    <w:p w14:paraId="7471F50C" w14:textId="1F14285A" w:rsidR="00230F01" w:rsidRPr="00230F01" w:rsidRDefault="00230F01" w:rsidP="00904B53">
      <w:r w:rsidRPr="00230F01">
        <w:t>Jan Logie to the Minister for Disability Issues (22 Jun 2021): How many self-employed</w:t>
      </w:r>
      <w:r w:rsidR="00E12939">
        <w:t xml:space="preserve"> Jo</w:t>
      </w:r>
      <w:r w:rsidRPr="00230F01">
        <w:t xml:space="preserve">b </w:t>
      </w:r>
      <w:r w:rsidR="00E12939">
        <w:t>S</w:t>
      </w:r>
      <w:r w:rsidRPr="00230F01">
        <w:t>upport fund applicants have received the full amount of funding available, each year for the last ten years?</w:t>
      </w:r>
      <w:r w:rsidR="008B5BC6" w:rsidRPr="008B5BC6">
        <w:rPr>
          <w:rStyle w:val="EndnoteReference"/>
          <w:b/>
          <w:bCs/>
        </w:rPr>
        <w:t xml:space="preserve"> </w:t>
      </w:r>
      <w:r w:rsidR="008B5BC6" w:rsidRPr="00230F01">
        <w:t>Hon Carmel Sepuloni (Minister for Disability Issues) replied</w:t>
      </w:r>
      <w:r w:rsidR="008B5BC6">
        <w:rPr>
          <w:b/>
        </w:rPr>
        <w:t>.</w:t>
      </w:r>
      <w:r w:rsidR="008B5BC6">
        <w:rPr>
          <w:rStyle w:val="EndnoteReference"/>
          <w:bCs/>
        </w:rPr>
        <w:endnoteReference w:id="45"/>
      </w:r>
    </w:p>
    <w:p w14:paraId="0C6E1807" w14:textId="12729632" w:rsidR="00EC5D41" w:rsidRPr="00904B53" w:rsidRDefault="008B5BC6" w:rsidP="00904B53">
      <w:pPr>
        <w:pStyle w:val="Caption"/>
      </w:pPr>
      <w:r w:rsidRPr="00904B53">
        <w:t xml:space="preserve">Table 2 </w:t>
      </w:r>
      <w:r w:rsidR="00904B53" w:rsidRPr="00904B53">
        <w:t>(</w:t>
      </w:r>
      <w:r w:rsidRPr="00904B53">
        <w:t>26089</w:t>
      </w:r>
      <w:r w:rsidR="00904B53" w:rsidRPr="00904B53">
        <w:t xml:space="preserve">): </w:t>
      </w:r>
      <w:r w:rsidR="00230F01" w:rsidRPr="00904B53">
        <w:t>The attached table sets out number of self-employed job support applicants who have received the maximum funding amount of $16,900 (or more if additional funding has been approved)</w:t>
      </w:r>
      <w:r w:rsidR="00952F62" w:rsidRPr="00904B53">
        <w:t>.</w:t>
      </w:r>
    </w:p>
    <w:tbl>
      <w:tblPr>
        <w:tblStyle w:val="TableGrid"/>
        <w:tblW w:w="0" w:type="auto"/>
        <w:tblLayout w:type="fixed"/>
        <w:tblLook w:val="06A0" w:firstRow="1" w:lastRow="0" w:firstColumn="1" w:lastColumn="0" w:noHBand="1" w:noVBand="1"/>
      </w:tblPr>
      <w:tblGrid>
        <w:gridCol w:w="3045"/>
        <w:gridCol w:w="3046"/>
      </w:tblGrid>
      <w:tr w:rsidR="00EC5D41" w:rsidRPr="00E46857" w14:paraId="21EC5E04" w14:textId="77777777" w:rsidTr="00E316CE">
        <w:trPr>
          <w:trHeight w:val="251"/>
        </w:trPr>
        <w:tc>
          <w:tcPr>
            <w:tcW w:w="3045" w:type="dxa"/>
            <w:shd w:val="clear" w:color="auto" w:fill="auto"/>
          </w:tcPr>
          <w:p w14:paraId="769C7AB7" w14:textId="77777777" w:rsidR="00EC5D41" w:rsidRPr="00E62FEA" w:rsidRDefault="00EC5D41" w:rsidP="00E316CE">
            <w:pPr>
              <w:spacing w:after="0" w:line="240" w:lineRule="auto"/>
              <w:rPr>
                <w:rFonts w:eastAsia="Calibri" w:cs="Arial"/>
                <w:b/>
                <w:bCs/>
                <w:color w:val="auto"/>
                <w:szCs w:val="24"/>
              </w:rPr>
            </w:pPr>
            <w:r w:rsidRPr="00E62FEA">
              <w:rPr>
                <w:rFonts w:eastAsia="Calibri" w:cs="Arial"/>
                <w:b/>
                <w:bCs/>
                <w:color w:val="auto"/>
                <w:szCs w:val="24"/>
              </w:rPr>
              <w:t>Financial year</w:t>
            </w:r>
          </w:p>
        </w:tc>
        <w:tc>
          <w:tcPr>
            <w:tcW w:w="3046" w:type="dxa"/>
            <w:shd w:val="clear" w:color="auto" w:fill="auto"/>
          </w:tcPr>
          <w:p w14:paraId="6C1CA4D5" w14:textId="77777777" w:rsidR="00EC5D41" w:rsidRPr="00E62FEA" w:rsidRDefault="00EC5D41" w:rsidP="00E316CE">
            <w:pPr>
              <w:spacing w:after="0" w:line="240" w:lineRule="auto"/>
              <w:rPr>
                <w:rFonts w:cs="Arial"/>
                <w:b/>
                <w:bCs/>
                <w:color w:val="auto"/>
                <w:szCs w:val="24"/>
              </w:rPr>
            </w:pPr>
            <w:r w:rsidRPr="00E62FEA">
              <w:rPr>
                <w:rFonts w:eastAsia="Calibri" w:cs="Arial"/>
                <w:b/>
                <w:bCs/>
                <w:color w:val="auto"/>
                <w:szCs w:val="24"/>
              </w:rPr>
              <w:t>Totals</w:t>
            </w:r>
          </w:p>
        </w:tc>
      </w:tr>
      <w:tr w:rsidR="00EC5D41" w:rsidRPr="00E46857" w14:paraId="10013091" w14:textId="77777777" w:rsidTr="00E316CE">
        <w:trPr>
          <w:trHeight w:val="251"/>
        </w:trPr>
        <w:tc>
          <w:tcPr>
            <w:tcW w:w="3045" w:type="dxa"/>
          </w:tcPr>
          <w:p w14:paraId="03DF82D1"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2010/11</w:t>
            </w:r>
          </w:p>
        </w:tc>
        <w:tc>
          <w:tcPr>
            <w:tcW w:w="3046" w:type="dxa"/>
          </w:tcPr>
          <w:p w14:paraId="30AA4AB8" w14:textId="77777777" w:rsidR="00EC5D41" w:rsidRPr="00E46857" w:rsidRDefault="00EC5D41" w:rsidP="00E316CE">
            <w:pPr>
              <w:spacing w:after="0" w:line="240" w:lineRule="auto"/>
              <w:jc w:val="right"/>
              <w:rPr>
                <w:rFonts w:cs="Arial"/>
                <w:color w:val="auto"/>
                <w:szCs w:val="24"/>
              </w:rPr>
            </w:pPr>
            <w:r w:rsidRPr="00E46857">
              <w:rPr>
                <w:rFonts w:eastAsia="Calibri" w:cs="Arial"/>
                <w:color w:val="auto"/>
                <w:szCs w:val="24"/>
              </w:rPr>
              <w:t>0</w:t>
            </w:r>
          </w:p>
        </w:tc>
      </w:tr>
      <w:tr w:rsidR="00EC5D41" w:rsidRPr="00E46857" w14:paraId="0C138B82" w14:textId="77777777" w:rsidTr="00E316CE">
        <w:trPr>
          <w:trHeight w:val="269"/>
        </w:trPr>
        <w:tc>
          <w:tcPr>
            <w:tcW w:w="3045" w:type="dxa"/>
          </w:tcPr>
          <w:p w14:paraId="18B0D53D"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2011/12</w:t>
            </w:r>
          </w:p>
        </w:tc>
        <w:tc>
          <w:tcPr>
            <w:tcW w:w="3046" w:type="dxa"/>
          </w:tcPr>
          <w:p w14:paraId="52F13F3B"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0</w:t>
            </w:r>
          </w:p>
        </w:tc>
      </w:tr>
      <w:tr w:rsidR="00EC5D41" w:rsidRPr="00E46857" w14:paraId="5A37293E" w14:textId="77777777" w:rsidTr="00E316CE">
        <w:trPr>
          <w:trHeight w:val="251"/>
        </w:trPr>
        <w:tc>
          <w:tcPr>
            <w:tcW w:w="3045" w:type="dxa"/>
          </w:tcPr>
          <w:p w14:paraId="64DBC23B"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2012/13</w:t>
            </w:r>
          </w:p>
        </w:tc>
        <w:tc>
          <w:tcPr>
            <w:tcW w:w="3046" w:type="dxa"/>
          </w:tcPr>
          <w:p w14:paraId="5DB740A0"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0</w:t>
            </w:r>
          </w:p>
        </w:tc>
      </w:tr>
      <w:tr w:rsidR="00EC5D41" w:rsidRPr="00E46857" w14:paraId="52179102" w14:textId="77777777" w:rsidTr="00E316CE">
        <w:trPr>
          <w:trHeight w:val="251"/>
        </w:trPr>
        <w:tc>
          <w:tcPr>
            <w:tcW w:w="3045" w:type="dxa"/>
          </w:tcPr>
          <w:p w14:paraId="113617AD"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2013/14</w:t>
            </w:r>
          </w:p>
        </w:tc>
        <w:tc>
          <w:tcPr>
            <w:tcW w:w="3046" w:type="dxa"/>
          </w:tcPr>
          <w:p w14:paraId="63370DC1"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2</w:t>
            </w:r>
          </w:p>
        </w:tc>
      </w:tr>
      <w:tr w:rsidR="00EC5D41" w:rsidRPr="00E46857" w14:paraId="79C4D761" w14:textId="77777777" w:rsidTr="00E316CE">
        <w:trPr>
          <w:trHeight w:val="251"/>
        </w:trPr>
        <w:tc>
          <w:tcPr>
            <w:tcW w:w="3045" w:type="dxa"/>
          </w:tcPr>
          <w:p w14:paraId="6D22E924"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2014/15</w:t>
            </w:r>
          </w:p>
        </w:tc>
        <w:tc>
          <w:tcPr>
            <w:tcW w:w="3046" w:type="dxa"/>
          </w:tcPr>
          <w:p w14:paraId="6F570E19"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3</w:t>
            </w:r>
          </w:p>
        </w:tc>
      </w:tr>
      <w:tr w:rsidR="00EC5D41" w:rsidRPr="00E46857" w14:paraId="7F737D76" w14:textId="77777777" w:rsidTr="00E316CE">
        <w:trPr>
          <w:trHeight w:val="251"/>
        </w:trPr>
        <w:tc>
          <w:tcPr>
            <w:tcW w:w="3045" w:type="dxa"/>
          </w:tcPr>
          <w:p w14:paraId="0F879FA6"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2015/16</w:t>
            </w:r>
          </w:p>
        </w:tc>
        <w:tc>
          <w:tcPr>
            <w:tcW w:w="3046" w:type="dxa"/>
          </w:tcPr>
          <w:p w14:paraId="61045D13"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3</w:t>
            </w:r>
          </w:p>
        </w:tc>
      </w:tr>
      <w:tr w:rsidR="00EC5D41" w:rsidRPr="00E46857" w14:paraId="3D932AD9" w14:textId="77777777" w:rsidTr="00E316CE">
        <w:trPr>
          <w:trHeight w:val="251"/>
        </w:trPr>
        <w:tc>
          <w:tcPr>
            <w:tcW w:w="3045" w:type="dxa"/>
          </w:tcPr>
          <w:p w14:paraId="0CA116B9"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2016/17</w:t>
            </w:r>
          </w:p>
        </w:tc>
        <w:tc>
          <w:tcPr>
            <w:tcW w:w="3046" w:type="dxa"/>
          </w:tcPr>
          <w:p w14:paraId="1AF17E9E"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4</w:t>
            </w:r>
          </w:p>
        </w:tc>
      </w:tr>
      <w:tr w:rsidR="00EC5D41" w:rsidRPr="00E46857" w14:paraId="39D898B9" w14:textId="77777777" w:rsidTr="00E316CE">
        <w:trPr>
          <w:trHeight w:val="269"/>
        </w:trPr>
        <w:tc>
          <w:tcPr>
            <w:tcW w:w="3045" w:type="dxa"/>
          </w:tcPr>
          <w:p w14:paraId="51DF8A31"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2017/18</w:t>
            </w:r>
          </w:p>
        </w:tc>
        <w:tc>
          <w:tcPr>
            <w:tcW w:w="3046" w:type="dxa"/>
          </w:tcPr>
          <w:p w14:paraId="07C55EF5"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4</w:t>
            </w:r>
          </w:p>
        </w:tc>
      </w:tr>
      <w:tr w:rsidR="00EC5D41" w:rsidRPr="00E46857" w14:paraId="6C739C4E" w14:textId="77777777" w:rsidTr="00E316CE">
        <w:trPr>
          <w:trHeight w:val="251"/>
        </w:trPr>
        <w:tc>
          <w:tcPr>
            <w:tcW w:w="3045" w:type="dxa"/>
          </w:tcPr>
          <w:p w14:paraId="4567C221"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2018/19</w:t>
            </w:r>
          </w:p>
        </w:tc>
        <w:tc>
          <w:tcPr>
            <w:tcW w:w="3046" w:type="dxa"/>
          </w:tcPr>
          <w:p w14:paraId="388F4C6C"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6</w:t>
            </w:r>
          </w:p>
        </w:tc>
      </w:tr>
      <w:tr w:rsidR="00EC5D41" w:rsidRPr="00E46857" w14:paraId="3E31851E" w14:textId="77777777" w:rsidTr="00E316CE">
        <w:trPr>
          <w:trHeight w:val="251"/>
        </w:trPr>
        <w:tc>
          <w:tcPr>
            <w:tcW w:w="3045" w:type="dxa"/>
          </w:tcPr>
          <w:p w14:paraId="2A404AB5"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2019/20</w:t>
            </w:r>
          </w:p>
        </w:tc>
        <w:tc>
          <w:tcPr>
            <w:tcW w:w="3046" w:type="dxa"/>
          </w:tcPr>
          <w:p w14:paraId="7F7ECAA8"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7</w:t>
            </w:r>
          </w:p>
        </w:tc>
      </w:tr>
      <w:tr w:rsidR="00EC5D41" w:rsidRPr="00E46857" w14:paraId="66419C66" w14:textId="77777777" w:rsidTr="00E316CE">
        <w:trPr>
          <w:trHeight w:val="251"/>
        </w:trPr>
        <w:tc>
          <w:tcPr>
            <w:tcW w:w="3045" w:type="dxa"/>
          </w:tcPr>
          <w:p w14:paraId="0CCCB3EE"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2020/21</w:t>
            </w:r>
          </w:p>
        </w:tc>
        <w:tc>
          <w:tcPr>
            <w:tcW w:w="3046" w:type="dxa"/>
          </w:tcPr>
          <w:p w14:paraId="241F77BF"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2</w:t>
            </w:r>
          </w:p>
        </w:tc>
      </w:tr>
    </w:tbl>
    <w:p w14:paraId="78BA938D" w14:textId="77777777" w:rsidR="000655A8" w:rsidRDefault="00DD3AD8" w:rsidP="000655A8">
      <w:pPr>
        <w:pStyle w:val="Heading3"/>
        <w:rPr>
          <w:bCs/>
        </w:rPr>
      </w:pPr>
      <w:bookmarkStart w:id="296" w:name="_Toc133076282"/>
      <w:r>
        <w:t xml:space="preserve">Parliamentary Written Question </w:t>
      </w:r>
      <w:r w:rsidR="0025149E" w:rsidRPr="0025149E">
        <w:rPr>
          <w:bCs/>
        </w:rPr>
        <w:t>26097 (2021)</w:t>
      </w:r>
      <w:bookmarkEnd w:id="296"/>
    </w:p>
    <w:p w14:paraId="55457054" w14:textId="11B2F4C8" w:rsidR="00EC5D41" w:rsidRPr="00904B53" w:rsidRDefault="0025149E" w:rsidP="00DF27F4">
      <w:pPr>
        <w:rPr>
          <w:bCs/>
        </w:rPr>
      </w:pPr>
      <w:r w:rsidRPr="0025149E">
        <w:rPr>
          <w:bCs/>
        </w:rPr>
        <w:t xml:space="preserve">Jan Logie to the Minister for Disability Issues (22 Jun 2021): How many </w:t>
      </w:r>
      <w:r w:rsidR="00E12939">
        <w:t>Jo</w:t>
      </w:r>
      <w:r w:rsidR="00E12939" w:rsidRPr="00230F01">
        <w:t xml:space="preserve">b </w:t>
      </w:r>
      <w:r w:rsidR="00E12939">
        <w:t>S</w:t>
      </w:r>
      <w:r w:rsidR="00E12939" w:rsidRPr="00230F01">
        <w:t xml:space="preserve">upport </w:t>
      </w:r>
      <w:r w:rsidRPr="0025149E">
        <w:rPr>
          <w:bCs/>
        </w:rPr>
        <w:t>fund applications have been approved for partial funding each year for the last ten years?</w:t>
      </w:r>
      <w:r w:rsidR="00904B53">
        <w:rPr>
          <w:bCs/>
        </w:rPr>
        <w:t xml:space="preserve"> </w:t>
      </w:r>
      <w:r w:rsidRPr="0025149E">
        <w:rPr>
          <w:bCs/>
        </w:rPr>
        <w:t>Hon Carmel Sepuloni (Minister for Disability Issues) replied</w:t>
      </w:r>
      <w:r w:rsidR="00904B53">
        <w:rPr>
          <w:bCs/>
        </w:rPr>
        <w:t>.</w:t>
      </w:r>
    </w:p>
    <w:p w14:paraId="753B8BB3" w14:textId="6FB7E460" w:rsidR="00DF27F4" w:rsidRPr="00DF27F4" w:rsidRDefault="00904B53" w:rsidP="00DF27F4">
      <w:pPr>
        <w:pStyle w:val="Caption"/>
      </w:pPr>
      <w:r>
        <w:t>Table 3 (</w:t>
      </w:r>
      <w:r w:rsidR="00DF27F4">
        <w:t>26097</w:t>
      </w:r>
      <w:r>
        <w:t>):</w:t>
      </w:r>
      <w:r w:rsidR="00DF27F4">
        <w:t xml:space="preserve"> </w:t>
      </w:r>
      <w:r>
        <w:rPr>
          <w:bCs/>
        </w:rPr>
        <w:t>T</w:t>
      </w:r>
      <w:r w:rsidRPr="0025149E">
        <w:rPr>
          <w:bCs/>
        </w:rPr>
        <w:t xml:space="preserve">he number of applications for </w:t>
      </w:r>
      <w:r w:rsidR="00E12939">
        <w:t>Jo</w:t>
      </w:r>
      <w:r w:rsidR="00E12939" w:rsidRPr="00230F01">
        <w:t xml:space="preserve">b </w:t>
      </w:r>
      <w:r w:rsidR="00E12939">
        <w:t>S</w:t>
      </w:r>
      <w:r w:rsidR="00E12939" w:rsidRPr="00230F01">
        <w:t xml:space="preserve">upport </w:t>
      </w:r>
      <w:r w:rsidRPr="0025149E">
        <w:rPr>
          <w:bCs/>
        </w:rPr>
        <w:t>funding where some assistance was approved and some assistance was declined or required a personal contribution from the applicant</w:t>
      </w:r>
      <w:r>
        <w:rPr>
          <w:bCs/>
        </w:rPr>
        <w:t>.</w:t>
      </w:r>
    </w:p>
    <w:tbl>
      <w:tblPr>
        <w:tblStyle w:val="TableGrid"/>
        <w:tblW w:w="0" w:type="auto"/>
        <w:tblLayout w:type="fixed"/>
        <w:tblLook w:val="06A0" w:firstRow="1" w:lastRow="0" w:firstColumn="1" w:lastColumn="0" w:noHBand="1" w:noVBand="1"/>
      </w:tblPr>
      <w:tblGrid>
        <w:gridCol w:w="3045"/>
        <w:gridCol w:w="3046"/>
      </w:tblGrid>
      <w:tr w:rsidR="00EC5D41" w:rsidRPr="00E46857" w14:paraId="04546100" w14:textId="77777777" w:rsidTr="00E316CE">
        <w:trPr>
          <w:trHeight w:val="251"/>
        </w:trPr>
        <w:tc>
          <w:tcPr>
            <w:tcW w:w="3045" w:type="dxa"/>
            <w:shd w:val="clear" w:color="auto" w:fill="auto"/>
          </w:tcPr>
          <w:p w14:paraId="63F32094" w14:textId="77777777" w:rsidR="00EC5D41" w:rsidRPr="00E62FEA" w:rsidRDefault="00EC5D41" w:rsidP="00E316CE">
            <w:pPr>
              <w:spacing w:after="0" w:line="240" w:lineRule="auto"/>
              <w:rPr>
                <w:rFonts w:eastAsia="Calibri" w:cs="Arial"/>
                <w:b/>
                <w:bCs/>
                <w:color w:val="auto"/>
                <w:szCs w:val="24"/>
              </w:rPr>
            </w:pPr>
            <w:r w:rsidRPr="00E62FEA">
              <w:rPr>
                <w:rFonts w:eastAsia="Calibri" w:cs="Arial"/>
                <w:b/>
                <w:bCs/>
                <w:color w:val="auto"/>
                <w:szCs w:val="24"/>
              </w:rPr>
              <w:t>Financial year</w:t>
            </w:r>
          </w:p>
        </w:tc>
        <w:tc>
          <w:tcPr>
            <w:tcW w:w="3046" w:type="dxa"/>
            <w:shd w:val="clear" w:color="auto" w:fill="auto"/>
          </w:tcPr>
          <w:p w14:paraId="0135B459" w14:textId="77777777" w:rsidR="00EC5D41" w:rsidRPr="00E62FEA" w:rsidRDefault="00EC5D41" w:rsidP="00E316CE">
            <w:pPr>
              <w:spacing w:after="0" w:line="240" w:lineRule="auto"/>
              <w:rPr>
                <w:rFonts w:cs="Arial"/>
                <w:b/>
                <w:bCs/>
                <w:color w:val="auto"/>
                <w:szCs w:val="24"/>
              </w:rPr>
            </w:pPr>
            <w:r w:rsidRPr="00E62FEA">
              <w:rPr>
                <w:rFonts w:eastAsia="Calibri" w:cs="Arial"/>
                <w:b/>
                <w:bCs/>
                <w:color w:val="auto"/>
                <w:szCs w:val="24"/>
              </w:rPr>
              <w:t>Totals</w:t>
            </w:r>
          </w:p>
        </w:tc>
      </w:tr>
      <w:tr w:rsidR="00EC5D41" w:rsidRPr="00E46857" w14:paraId="64F9941C" w14:textId="77777777" w:rsidTr="00E316CE">
        <w:trPr>
          <w:trHeight w:val="251"/>
        </w:trPr>
        <w:tc>
          <w:tcPr>
            <w:tcW w:w="3045" w:type="dxa"/>
          </w:tcPr>
          <w:p w14:paraId="3419E5FD"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2010/11</w:t>
            </w:r>
          </w:p>
        </w:tc>
        <w:tc>
          <w:tcPr>
            <w:tcW w:w="3046" w:type="dxa"/>
          </w:tcPr>
          <w:p w14:paraId="6098E798" w14:textId="77777777" w:rsidR="00EC5D41" w:rsidRPr="00E46857" w:rsidRDefault="00EC5D41" w:rsidP="00E316CE">
            <w:pPr>
              <w:spacing w:after="0" w:line="240" w:lineRule="auto"/>
              <w:jc w:val="right"/>
              <w:rPr>
                <w:rFonts w:cs="Arial"/>
                <w:color w:val="auto"/>
                <w:szCs w:val="24"/>
              </w:rPr>
            </w:pPr>
            <w:r w:rsidRPr="00E46857">
              <w:rPr>
                <w:rFonts w:eastAsia="Calibri" w:cs="Arial"/>
                <w:color w:val="auto"/>
                <w:szCs w:val="24"/>
              </w:rPr>
              <w:t>0</w:t>
            </w:r>
          </w:p>
        </w:tc>
      </w:tr>
      <w:tr w:rsidR="00EC5D41" w:rsidRPr="00E46857" w14:paraId="428492A3" w14:textId="77777777" w:rsidTr="00E316CE">
        <w:trPr>
          <w:trHeight w:val="269"/>
        </w:trPr>
        <w:tc>
          <w:tcPr>
            <w:tcW w:w="3045" w:type="dxa"/>
          </w:tcPr>
          <w:p w14:paraId="55B3EF41"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2011/12</w:t>
            </w:r>
          </w:p>
        </w:tc>
        <w:tc>
          <w:tcPr>
            <w:tcW w:w="3046" w:type="dxa"/>
          </w:tcPr>
          <w:p w14:paraId="72EE7ED4"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0</w:t>
            </w:r>
          </w:p>
        </w:tc>
      </w:tr>
      <w:tr w:rsidR="00EC5D41" w:rsidRPr="00E46857" w14:paraId="31BF8BB3" w14:textId="77777777" w:rsidTr="00E316CE">
        <w:trPr>
          <w:trHeight w:val="251"/>
        </w:trPr>
        <w:tc>
          <w:tcPr>
            <w:tcW w:w="3045" w:type="dxa"/>
          </w:tcPr>
          <w:p w14:paraId="72FA485C"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2012/13</w:t>
            </w:r>
          </w:p>
        </w:tc>
        <w:tc>
          <w:tcPr>
            <w:tcW w:w="3046" w:type="dxa"/>
          </w:tcPr>
          <w:p w14:paraId="06B6E6C3"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29</w:t>
            </w:r>
          </w:p>
        </w:tc>
      </w:tr>
      <w:tr w:rsidR="00EC5D41" w:rsidRPr="00E46857" w14:paraId="0065963A" w14:textId="77777777" w:rsidTr="00E316CE">
        <w:trPr>
          <w:trHeight w:val="251"/>
        </w:trPr>
        <w:tc>
          <w:tcPr>
            <w:tcW w:w="3045" w:type="dxa"/>
          </w:tcPr>
          <w:p w14:paraId="1C5F2919"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2013/14</w:t>
            </w:r>
          </w:p>
        </w:tc>
        <w:tc>
          <w:tcPr>
            <w:tcW w:w="3046" w:type="dxa"/>
          </w:tcPr>
          <w:p w14:paraId="09B85A1C"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41</w:t>
            </w:r>
          </w:p>
        </w:tc>
      </w:tr>
      <w:tr w:rsidR="00EC5D41" w:rsidRPr="00E46857" w14:paraId="3DCAFC60" w14:textId="77777777" w:rsidTr="00E316CE">
        <w:trPr>
          <w:trHeight w:val="251"/>
        </w:trPr>
        <w:tc>
          <w:tcPr>
            <w:tcW w:w="3045" w:type="dxa"/>
          </w:tcPr>
          <w:p w14:paraId="5440EF6F"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2014/15</w:t>
            </w:r>
          </w:p>
        </w:tc>
        <w:tc>
          <w:tcPr>
            <w:tcW w:w="3046" w:type="dxa"/>
          </w:tcPr>
          <w:p w14:paraId="5A2E504A"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24</w:t>
            </w:r>
          </w:p>
        </w:tc>
      </w:tr>
      <w:tr w:rsidR="00EC5D41" w:rsidRPr="00E46857" w14:paraId="28E59B74" w14:textId="77777777" w:rsidTr="00E316CE">
        <w:trPr>
          <w:trHeight w:val="251"/>
        </w:trPr>
        <w:tc>
          <w:tcPr>
            <w:tcW w:w="3045" w:type="dxa"/>
          </w:tcPr>
          <w:p w14:paraId="2F40D262"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2015/16</w:t>
            </w:r>
          </w:p>
        </w:tc>
        <w:tc>
          <w:tcPr>
            <w:tcW w:w="3046" w:type="dxa"/>
          </w:tcPr>
          <w:p w14:paraId="64D3B578"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29</w:t>
            </w:r>
          </w:p>
        </w:tc>
      </w:tr>
      <w:tr w:rsidR="00EC5D41" w:rsidRPr="00E46857" w14:paraId="0EA5E15B" w14:textId="77777777" w:rsidTr="00E316CE">
        <w:trPr>
          <w:trHeight w:val="251"/>
        </w:trPr>
        <w:tc>
          <w:tcPr>
            <w:tcW w:w="3045" w:type="dxa"/>
          </w:tcPr>
          <w:p w14:paraId="0B898956"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2016/17</w:t>
            </w:r>
          </w:p>
        </w:tc>
        <w:tc>
          <w:tcPr>
            <w:tcW w:w="3046" w:type="dxa"/>
          </w:tcPr>
          <w:p w14:paraId="366653B4"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17</w:t>
            </w:r>
          </w:p>
        </w:tc>
      </w:tr>
      <w:tr w:rsidR="00EC5D41" w:rsidRPr="00E46857" w14:paraId="06923370" w14:textId="77777777" w:rsidTr="00E316CE">
        <w:trPr>
          <w:trHeight w:val="269"/>
        </w:trPr>
        <w:tc>
          <w:tcPr>
            <w:tcW w:w="3045" w:type="dxa"/>
          </w:tcPr>
          <w:p w14:paraId="0CC3260C"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2017/18</w:t>
            </w:r>
          </w:p>
        </w:tc>
        <w:tc>
          <w:tcPr>
            <w:tcW w:w="3046" w:type="dxa"/>
          </w:tcPr>
          <w:p w14:paraId="35974080"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15</w:t>
            </w:r>
          </w:p>
        </w:tc>
      </w:tr>
      <w:tr w:rsidR="00EC5D41" w:rsidRPr="00E46857" w14:paraId="5B1634BA" w14:textId="77777777" w:rsidTr="00E316CE">
        <w:trPr>
          <w:trHeight w:val="251"/>
        </w:trPr>
        <w:tc>
          <w:tcPr>
            <w:tcW w:w="3045" w:type="dxa"/>
          </w:tcPr>
          <w:p w14:paraId="31CC075C"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2018/19</w:t>
            </w:r>
          </w:p>
        </w:tc>
        <w:tc>
          <w:tcPr>
            <w:tcW w:w="3046" w:type="dxa"/>
          </w:tcPr>
          <w:p w14:paraId="7B432CAF"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28</w:t>
            </w:r>
          </w:p>
        </w:tc>
      </w:tr>
      <w:tr w:rsidR="00EC5D41" w:rsidRPr="00E46857" w14:paraId="5EBEC78A" w14:textId="77777777" w:rsidTr="00E316CE">
        <w:trPr>
          <w:trHeight w:val="251"/>
        </w:trPr>
        <w:tc>
          <w:tcPr>
            <w:tcW w:w="3045" w:type="dxa"/>
          </w:tcPr>
          <w:p w14:paraId="7DF1A6D9"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2019/20</w:t>
            </w:r>
          </w:p>
        </w:tc>
        <w:tc>
          <w:tcPr>
            <w:tcW w:w="3046" w:type="dxa"/>
          </w:tcPr>
          <w:p w14:paraId="3A9AC686"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15</w:t>
            </w:r>
          </w:p>
        </w:tc>
      </w:tr>
      <w:tr w:rsidR="00EC5D41" w:rsidRPr="00E46857" w14:paraId="2E56B96D" w14:textId="77777777" w:rsidTr="00E316CE">
        <w:trPr>
          <w:trHeight w:val="251"/>
        </w:trPr>
        <w:tc>
          <w:tcPr>
            <w:tcW w:w="3045" w:type="dxa"/>
          </w:tcPr>
          <w:p w14:paraId="57F9D033"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2020/21</w:t>
            </w:r>
          </w:p>
        </w:tc>
        <w:tc>
          <w:tcPr>
            <w:tcW w:w="3046" w:type="dxa"/>
          </w:tcPr>
          <w:p w14:paraId="25B510EA"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15</w:t>
            </w:r>
          </w:p>
        </w:tc>
      </w:tr>
    </w:tbl>
    <w:p w14:paraId="277406C5" w14:textId="77777777" w:rsidR="000655A8" w:rsidRDefault="00DD3AD8" w:rsidP="000655A8">
      <w:pPr>
        <w:pStyle w:val="Heading3"/>
      </w:pPr>
      <w:bookmarkStart w:id="297" w:name="_Toc133076283"/>
      <w:r>
        <w:lastRenderedPageBreak/>
        <w:t xml:space="preserve">Parliamentary Written Question </w:t>
      </w:r>
      <w:r w:rsidR="00D41A31" w:rsidRPr="00D41A31">
        <w:t>26098 (2021)</w:t>
      </w:r>
      <w:bookmarkEnd w:id="297"/>
    </w:p>
    <w:p w14:paraId="358C9A55" w14:textId="7A4E690C" w:rsidR="00EC5D41" w:rsidRPr="00E82096" w:rsidRDefault="00D41A31" w:rsidP="00B87D5E">
      <w:r w:rsidRPr="00D41A31">
        <w:t xml:space="preserve">Jan Logie to the Minister for Disability Issues (22 Jun 2021): How many </w:t>
      </w:r>
      <w:r w:rsidR="00E12939">
        <w:t>Jo</w:t>
      </w:r>
      <w:r w:rsidR="00E12939" w:rsidRPr="00230F01">
        <w:t xml:space="preserve">b </w:t>
      </w:r>
      <w:r w:rsidR="00E12939">
        <w:t>S</w:t>
      </w:r>
      <w:r w:rsidR="00E12939" w:rsidRPr="00230F01">
        <w:t xml:space="preserve">upport </w:t>
      </w:r>
      <w:r w:rsidRPr="00D41A31">
        <w:t>fund applicants have received the full funding entitlement each year for the last ten years?</w:t>
      </w:r>
      <w:r w:rsidR="00E82096">
        <w:t xml:space="preserve"> </w:t>
      </w:r>
      <w:r w:rsidRPr="00D41A31">
        <w:t>Hon Carmel Sepuloni (Minister for Disability Issues) replied</w:t>
      </w:r>
      <w:r w:rsidR="0080287E">
        <w:t>.</w:t>
      </w:r>
      <w:r w:rsidR="0080287E">
        <w:rPr>
          <w:rStyle w:val="EndnoteReference"/>
          <w:bCs/>
        </w:rPr>
        <w:endnoteReference w:id="46"/>
      </w:r>
    </w:p>
    <w:p w14:paraId="0FB2C7A6" w14:textId="0F2F8006" w:rsidR="00821CB9" w:rsidRPr="00821CB9" w:rsidRDefault="00904B53" w:rsidP="00E82096">
      <w:pPr>
        <w:pStyle w:val="Caption"/>
      </w:pPr>
      <w:r>
        <w:t>Table 4 (</w:t>
      </w:r>
      <w:r w:rsidR="00821CB9">
        <w:t>26098</w:t>
      </w:r>
      <w:r>
        <w:t>):</w:t>
      </w:r>
      <w:r w:rsidR="00821CB9">
        <w:t xml:space="preserve"> </w:t>
      </w:r>
      <w:r w:rsidR="00E82096">
        <w:t xml:space="preserve">the number of </w:t>
      </w:r>
      <w:r w:rsidR="00E12939">
        <w:t>Jo</w:t>
      </w:r>
      <w:r w:rsidR="00E12939" w:rsidRPr="00230F01">
        <w:t xml:space="preserve">b </w:t>
      </w:r>
      <w:r w:rsidR="00E12939">
        <w:t>S</w:t>
      </w:r>
      <w:r w:rsidR="00E12939" w:rsidRPr="00230F01">
        <w:t xml:space="preserve">upport </w:t>
      </w:r>
      <w:r w:rsidR="00E82096">
        <w:t xml:space="preserve">fund applicants who have received the maximum funding amount of $16,900 (or more if additional funding has been approved). The figures include self- employed information from Q26089 as they are also classified as Job Support </w:t>
      </w:r>
      <w:r w:rsidR="00E12939">
        <w:t>f</w:t>
      </w:r>
      <w:r w:rsidR="00E82096">
        <w:t>und applicants.</w:t>
      </w:r>
    </w:p>
    <w:tbl>
      <w:tblPr>
        <w:tblStyle w:val="TableGrid"/>
        <w:tblW w:w="0" w:type="auto"/>
        <w:tblLayout w:type="fixed"/>
        <w:tblLook w:val="06A0" w:firstRow="1" w:lastRow="0" w:firstColumn="1" w:lastColumn="0" w:noHBand="1" w:noVBand="1"/>
      </w:tblPr>
      <w:tblGrid>
        <w:gridCol w:w="3045"/>
        <w:gridCol w:w="3046"/>
      </w:tblGrid>
      <w:tr w:rsidR="00EC5D41" w:rsidRPr="00DB363F" w14:paraId="2DC554AE" w14:textId="77777777" w:rsidTr="00E316CE">
        <w:trPr>
          <w:trHeight w:val="268"/>
        </w:trPr>
        <w:tc>
          <w:tcPr>
            <w:tcW w:w="3045" w:type="dxa"/>
            <w:shd w:val="clear" w:color="auto" w:fill="auto"/>
          </w:tcPr>
          <w:p w14:paraId="6E0975FC" w14:textId="77777777" w:rsidR="00EC5D41" w:rsidRPr="00381A7D" w:rsidRDefault="00EC5D41" w:rsidP="00E316CE">
            <w:pPr>
              <w:spacing w:after="0" w:line="240" w:lineRule="auto"/>
              <w:rPr>
                <w:rFonts w:eastAsia="Calibri" w:cs="Arial"/>
                <w:b/>
                <w:bCs/>
                <w:color w:val="auto"/>
                <w:szCs w:val="24"/>
              </w:rPr>
            </w:pPr>
            <w:r w:rsidRPr="00381A7D">
              <w:rPr>
                <w:rFonts w:eastAsia="Calibri" w:cs="Arial"/>
                <w:b/>
                <w:bCs/>
                <w:color w:val="auto"/>
                <w:szCs w:val="24"/>
              </w:rPr>
              <w:t>Financial year</w:t>
            </w:r>
          </w:p>
        </w:tc>
        <w:tc>
          <w:tcPr>
            <w:tcW w:w="3046" w:type="dxa"/>
            <w:shd w:val="clear" w:color="auto" w:fill="auto"/>
          </w:tcPr>
          <w:p w14:paraId="7C002CD8" w14:textId="77777777" w:rsidR="00EC5D41" w:rsidRPr="00381A7D" w:rsidRDefault="00EC5D41" w:rsidP="00E316CE">
            <w:pPr>
              <w:spacing w:after="0" w:line="240" w:lineRule="auto"/>
              <w:rPr>
                <w:rFonts w:cs="Arial"/>
                <w:b/>
                <w:bCs/>
                <w:color w:val="auto"/>
                <w:szCs w:val="24"/>
              </w:rPr>
            </w:pPr>
            <w:r w:rsidRPr="00381A7D">
              <w:rPr>
                <w:rFonts w:eastAsia="Calibri" w:cs="Arial"/>
                <w:b/>
                <w:bCs/>
                <w:color w:val="auto"/>
                <w:szCs w:val="24"/>
              </w:rPr>
              <w:t>Totals</w:t>
            </w:r>
          </w:p>
        </w:tc>
      </w:tr>
      <w:tr w:rsidR="00EC5D41" w:rsidRPr="00DB363F" w14:paraId="1C0FBAA2" w14:textId="77777777" w:rsidTr="00E316CE">
        <w:trPr>
          <w:trHeight w:val="268"/>
        </w:trPr>
        <w:tc>
          <w:tcPr>
            <w:tcW w:w="3045" w:type="dxa"/>
          </w:tcPr>
          <w:p w14:paraId="064E5495"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2010/11</w:t>
            </w:r>
          </w:p>
        </w:tc>
        <w:tc>
          <w:tcPr>
            <w:tcW w:w="3046" w:type="dxa"/>
          </w:tcPr>
          <w:p w14:paraId="060F828B"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19</w:t>
            </w:r>
          </w:p>
        </w:tc>
      </w:tr>
      <w:tr w:rsidR="00EC5D41" w:rsidRPr="00DB363F" w14:paraId="7B0AD997" w14:textId="77777777" w:rsidTr="00E316CE">
        <w:trPr>
          <w:trHeight w:val="286"/>
        </w:trPr>
        <w:tc>
          <w:tcPr>
            <w:tcW w:w="3045" w:type="dxa"/>
          </w:tcPr>
          <w:p w14:paraId="22778BCE"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2011/12</w:t>
            </w:r>
          </w:p>
        </w:tc>
        <w:tc>
          <w:tcPr>
            <w:tcW w:w="3046" w:type="dxa"/>
          </w:tcPr>
          <w:p w14:paraId="5F3B2517"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17</w:t>
            </w:r>
          </w:p>
        </w:tc>
      </w:tr>
      <w:tr w:rsidR="00EC5D41" w:rsidRPr="00DB363F" w14:paraId="4B659A4C" w14:textId="77777777" w:rsidTr="00E316CE">
        <w:trPr>
          <w:trHeight w:val="268"/>
        </w:trPr>
        <w:tc>
          <w:tcPr>
            <w:tcW w:w="3045" w:type="dxa"/>
          </w:tcPr>
          <w:p w14:paraId="6A4A67D2"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2012/13</w:t>
            </w:r>
          </w:p>
        </w:tc>
        <w:tc>
          <w:tcPr>
            <w:tcW w:w="3046" w:type="dxa"/>
          </w:tcPr>
          <w:p w14:paraId="437DC7C5"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16</w:t>
            </w:r>
          </w:p>
        </w:tc>
      </w:tr>
      <w:tr w:rsidR="00EC5D41" w:rsidRPr="00DB363F" w14:paraId="4AEB7409" w14:textId="77777777" w:rsidTr="00E316CE">
        <w:trPr>
          <w:trHeight w:val="268"/>
        </w:trPr>
        <w:tc>
          <w:tcPr>
            <w:tcW w:w="3045" w:type="dxa"/>
          </w:tcPr>
          <w:p w14:paraId="13DD2543"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2013/14</w:t>
            </w:r>
          </w:p>
        </w:tc>
        <w:tc>
          <w:tcPr>
            <w:tcW w:w="3046" w:type="dxa"/>
          </w:tcPr>
          <w:p w14:paraId="25EB320A"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24</w:t>
            </w:r>
          </w:p>
        </w:tc>
      </w:tr>
      <w:tr w:rsidR="00EC5D41" w:rsidRPr="00DB363F" w14:paraId="2CCFCB32" w14:textId="77777777" w:rsidTr="00E316CE">
        <w:trPr>
          <w:trHeight w:val="268"/>
        </w:trPr>
        <w:tc>
          <w:tcPr>
            <w:tcW w:w="3045" w:type="dxa"/>
          </w:tcPr>
          <w:p w14:paraId="45CF6545"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2014/15</w:t>
            </w:r>
          </w:p>
        </w:tc>
        <w:tc>
          <w:tcPr>
            <w:tcW w:w="3046" w:type="dxa"/>
          </w:tcPr>
          <w:p w14:paraId="406CE667"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33</w:t>
            </w:r>
          </w:p>
        </w:tc>
      </w:tr>
      <w:tr w:rsidR="00EC5D41" w:rsidRPr="00DB363F" w14:paraId="06CF8F3F" w14:textId="77777777" w:rsidTr="00E316CE">
        <w:trPr>
          <w:trHeight w:val="268"/>
        </w:trPr>
        <w:tc>
          <w:tcPr>
            <w:tcW w:w="3045" w:type="dxa"/>
          </w:tcPr>
          <w:p w14:paraId="3AB30578"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2015/16</w:t>
            </w:r>
          </w:p>
        </w:tc>
        <w:tc>
          <w:tcPr>
            <w:tcW w:w="3046" w:type="dxa"/>
          </w:tcPr>
          <w:p w14:paraId="00E5B14D"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30</w:t>
            </w:r>
          </w:p>
        </w:tc>
      </w:tr>
      <w:tr w:rsidR="00EC5D41" w:rsidRPr="00DB363F" w14:paraId="71FB1102" w14:textId="77777777" w:rsidTr="00E316CE">
        <w:trPr>
          <w:trHeight w:val="268"/>
        </w:trPr>
        <w:tc>
          <w:tcPr>
            <w:tcW w:w="3045" w:type="dxa"/>
          </w:tcPr>
          <w:p w14:paraId="63B7272C"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2016/17</w:t>
            </w:r>
          </w:p>
        </w:tc>
        <w:tc>
          <w:tcPr>
            <w:tcW w:w="3046" w:type="dxa"/>
          </w:tcPr>
          <w:p w14:paraId="0466ACAD"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46</w:t>
            </w:r>
          </w:p>
        </w:tc>
      </w:tr>
      <w:tr w:rsidR="00EC5D41" w:rsidRPr="00DB363F" w14:paraId="089E327A" w14:textId="77777777" w:rsidTr="00E316CE">
        <w:trPr>
          <w:trHeight w:val="286"/>
        </w:trPr>
        <w:tc>
          <w:tcPr>
            <w:tcW w:w="3045" w:type="dxa"/>
          </w:tcPr>
          <w:p w14:paraId="47C8615A"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2017/18</w:t>
            </w:r>
          </w:p>
        </w:tc>
        <w:tc>
          <w:tcPr>
            <w:tcW w:w="3046" w:type="dxa"/>
          </w:tcPr>
          <w:p w14:paraId="6D4B9BA0"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46</w:t>
            </w:r>
          </w:p>
        </w:tc>
      </w:tr>
      <w:tr w:rsidR="00EC5D41" w:rsidRPr="00DB363F" w14:paraId="796B902D" w14:textId="77777777" w:rsidTr="00E316CE">
        <w:trPr>
          <w:trHeight w:val="268"/>
        </w:trPr>
        <w:tc>
          <w:tcPr>
            <w:tcW w:w="3045" w:type="dxa"/>
          </w:tcPr>
          <w:p w14:paraId="380334C8"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2018/19</w:t>
            </w:r>
          </w:p>
        </w:tc>
        <w:tc>
          <w:tcPr>
            <w:tcW w:w="3046" w:type="dxa"/>
          </w:tcPr>
          <w:p w14:paraId="6E0CBAEA"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41</w:t>
            </w:r>
          </w:p>
        </w:tc>
      </w:tr>
      <w:tr w:rsidR="00EC5D41" w:rsidRPr="00DB363F" w14:paraId="02DD51EB" w14:textId="77777777" w:rsidTr="00E316CE">
        <w:trPr>
          <w:trHeight w:val="268"/>
        </w:trPr>
        <w:tc>
          <w:tcPr>
            <w:tcW w:w="3045" w:type="dxa"/>
          </w:tcPr>
          <w:p w14:paraId="2E870137"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2019/20</w:t>
            </w:r>
          </w:p>
        </w:tc>
        <w:tc>
          <w:tcPr>
            <w:tcW w:w="3046" w:type="dxa"/>
          </w:tcPr>
          <w:p w14:paraId="0C465FFE"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49</w:t>
            </w:r>
          </w:p>
        </w:tc>
      </w:tr>
      <w:tr w:rsidR="00EC5D41" w:rsidRPr="00DB363F" w14:paraId="7F7062A3" w14:textId="77777777" w:rsidTr="00E316CE">
        <w:trPr>
          <w:trHeight w:val="268"/>
        </w:trPr>
        <w:tc>
          <w:tcPr>
            <w:tcW w:w="3045" w:type="dxa"/>
          </w:tcPr>
          <w:p w14:paraId="7F9C5226" w14:textId="77777777" w:rsidR="00EC5D41" w:rsidRPr="00E46857" w:rsidRDefault="00EC5D41" w:rsidP="00E316CE">
            <w:pPr>
              <w:spacing w:after="0" w:line="240" w:lineRule="auto"/>
              <w:rPr>
                <w:rFonts w:eastAsia="Calibri" w:cs="Arial"/>
                <w:color w:val="auto"/>
                <w:szCs w:val="24"/>
              </w:rPr>
            </w:pPr>
            <w:r w:rsidRPr="00E46857">
              <w:rPr>
                <w:rFonts w:eastAsia="Calibri" w:cs="Arial"/>
                <w:color w:val="auto"/>
                <w:szCs w:val="24"/>
              </w:rPr>
              <w:t>2020/21</w:t>
            </w:r>
          </w:p>
        </w:tc>
        <w:tc>
          <w:tcPr>
            <w:tcW w:w="3046" w:type="dxa"/>
          </w:tcPr>
          <w:p w14:paraId="2B087B56" w14:textId="77777777" w:rsidR="00EC5D41" w:rsidRPr="00E46857" w:rsidRDefault="00EC5D41" w:rsidP="00E316CE">
            <w:pPr>
              <w:spacing w:after="0" w:line="240" w:lineRule="auto"/>
              <w:jc w:val="right"/>
              <w:rPr>
                <w:rFonts w:eastAsia="Calibri" w:cs="Arial"/>
                <w:color w:val="auto"/>
                <w:szCs w:val="24"/>
              </w:rPr>
            </w:pPr>
            <w:r w:rsidRPr="00E46857">
              <w:rPr>
                <w:rFonts w:eastAsia="Calibri" w:cs="Arial"/>
                <w:color w:val="auto"/>
                <w:szCs w:val="24"/>
              </w:rPr>
              <w:t>28</w:t>
            </w:r>
          </w:p>
        </w:tc>
      </w:tr>
    </w:tbl>
    <w:p w14:paraId="70EC46F0" w14:textId="77777777" w:rsidR="00C33CA9" w:rsidRDefault="00C33CA9" w:rsidP="00C33CA9"/>
    <w:p w14:paraId="12FA2814" w14:textId="77777777" w:rsidR="00C33CA9" w:rsidRDefault="00C33CA9">
      <w:pPr>
        <w:spacing w:after="160" w:line="259" w:lineRule="auto"/>
        <w:rPr>
          <w:rFonts w:eastAsiaTheme="majorEastAsia" w:cstheme="majorBidi"/>
          <w:color w:val="1F3864" w:themeColor="accent5" w:themeShade="80"/>
          <w:sz w:val="44"/>
          <w:szCs w:val="26"/>
        </w:rPr>
      </w:pPr>
      <w:r>
        <w:br w:type="page"/>
      </w:r>
    </w:p>
    <w:p w14:paraId="145F8BB8" w14:textId="336A6039" w:rsidR="00911413" w:rsidRPr="00911413" w:rsidRDefault="00DD4511" w:rsidP="00763F5C">
      <w:pPr>
        <w:pStyle w:val="Heading2"/>
      </w:pPr>
      <w:bookmarkStart w:id="298" w:name="_Toc133076284"/>
      <w:r>
        <w:lastRenderedPageBreak/>
        <w:t xml:space="preserve">Appendix </w:t>
      </w:r>
      <w:r w:rsidR="00EC5D41">
        <w:t>C</w:t>
      </w:r>
      <w:r w:rsidR="003019A5">
        <w:t>:</w:t>
      </w:r>
      <w:r w:rsidR="00746E64">
        <w:t xml:space="preserve"> </w:t>
      </w:r>
      <w:r w:rsidR="005953F2">
        <w:t>D</w:t>
      </w:r>
      <w:r w:rsidR="00746E64">
        <w:t>ata on Support Funds</w:t>
      </w:r>
      <w:r w:rsidR="00204055">
        <w:t xml:space="preserve"> (2022)</w:t>
      </w:r>
      <w:bookmarkEnd w:id="298"/>
    </w:p>
    <w:p w14:paraId="0353A2DA" w14:textId="77777777" w:rsidR="00763F5C" w:rsidRDefault="00763F5C" w:rsidP="00BE397F">
      <w:pPr>
        <w:spacing w:after="0"/>
      </w:pPr>
    </w:p>
    <w:p w14:paraId="66D98FE9" w14:textId="77777777" w:rsidR="00BF687D" w:rsidRPr="00BF687D" w:rsidRDefault="00BF687D" w:rsidP="00BF687D">
      <w:r w:rsidRPr="00BF687D">
        <w:t>The Ministry of Social Development notes in the communication of this data that:</w:t>
      </w:r>
    </w:p>
    <w:p w14:paraId="4372BC34" w14:textId="3233D57F" w:rsidR="00BF687D" w:rsidRPr="00BF687D" w:rsidRDefault="00BF687D" w:rsidP="00BF687D">
      <w:pPr>
        <w:pStyle w:val="ListParagraph"/>
        <w:numPr>
          <w:ilvl w:val="0"/>
          <w:numId w:val="20"/>
        </w:numPr>
        <w:rPr>
          <w:rStyle w:val="Emphasis"/>
          <w:i w:val="0"/>
          <w:iCs w:val="0"/>
        </w:rPr>
      </w:pPr>
      <w:r w:rsidRPr="00BF687D">
        <w:rPr>
          <w:rStyle w:val="Emphasis"/>
          <w:i w:val="0"/>
          <w:iCs w:val="0"/>
        </w:rPr>
        <w:t xml:space="preserve">To protect confidentiality, the Ministry uses processes to make it difficult to identify an individual person or entity from published data. </w:t>
      </w:r>
    </w:p>
    <w:p w14:paraId="23AAF993" w14:textId="77777777" w:rsidR="00BF687D" w:rsidRPr="00BF687D" w:rsidRDefault="00BF687D" w:rsidP="00BF687D">
      <w:pPr>
        <w:pStyle w:val="ListParagraph"/>
        <w:numPr>
          <w:ilvl w:val="0"/>
          <w:numId w:val="20"/>
        </w:numPr>
        <w:rPr>
          <w:rStyle w:val="Emphasis"/>
          <w:i w:val="0"/>
          <w:iCs w:val="0"/>
        </w:rPr>
      </w:pPr>
      <w:r w:rsidRPr="00BF687D">
        <w:rPr>
          <w:rStyle w:val="Emphasis"/>
          <w:i w:val="0"/>
          <w:iCs w:val="0"/>
        </w:rPr>
        <w:t xml:space="preserve">These data tables have had random rounding to base three applied to all cell counts in the table. </w:t>
      </w:r>
    </w:p>
    <w:p w14:paraId="71353858" w14:textId="77777777" w:rsidR="00BF687D" w:rsidRPr="00BF687D" w:rsidRDefault="00BF687D" w:rsidP="00BF687D">
      <w:pPr>
        <w:pStyle w:val="ListParagraph"/>
        <w:numPr>
          <w:ilvl w:val="0"/>
          <w:numId w:val="20"/>
        </w:numPr>
        <w:rPr>
          <w:rStyle w:val="Emphasis"/>
          <w:i w:val="0"/>
          <w:iCs w:val="0"/>
        </w:rPr>
      </w:pPr>
      <w:r w:rsidRPr="00BF687D">
        <w:rPr>
          <w:rStyle w:val="Emphasis"/>
          <w:i w:val="0"/>
          <w:iCs w:val="0"/>
        </w:rPr>
        <w:t xml:space="preserve">The impact of applying random rounding is that columns and rows may not add exactly to the given column or row totals. </w:t>
      </w:r>
    </w:p>
    <w:p w14:paraId="21BF6DCC" w14:textId="77777777" w:rsidR="00BF687D" w:rsidRDefault="00BF687D" w:rsidP="00BF687D">
      <w:pPr>
        <w:pStyle w:val="ListParagraph"/>
        <w:numPr>
          <w:ilvl w:val="0"/>
          <w:numId w:val="20"/>
        </w:numPr>
        <w:rPr>
          <w:rStyle w:val="Emphasis"/>
          <w:i w:val="0"/>
          <w:iCs w:val="0"/>
        </w:rPr>
      </w:pPr>
      <w:r w:rsidRPr="00BF687D">
        <w:rPr>
          <w:rStyle w:val="Emphasis"/>
          <w:i w:val="0"/>
          <w:iCs w:val="0"/>
        </w:rPr>
        <w:t>The published counts will never differ by more than two counts.</w:t>
      </w:r>
    </w:p>
    <w:p w14:paraId="62BA24D0" w14:textId="77777777" w:rsidR="00005FA9" w:rsidRPr="00BF687D" w:rsidRDefault="00005FA9" w:rsidP="00005FA9"/>
    <w:p w14:paraId="62EFFF12" w14:textId="77777777" w:rsidR="00005FA9" w:rsidRDefault="00005FA9" w:rsidP="00005FA9">
      <w:pPr>
        <w:pStyle w:val="Heading3"/>
      </w:pPr>
      <w:bookmarkStart w:id="299" w:name="_Toc133076285"/>
      <w:bookmarkStart w:id="300" w:name="_Toc132543859"/>
      <w:r>
        <w:t>Parliamentary Written Question 17438 (2022)</w:t>
      </w:r>
      <w:bookmarkEnd w:id="299"/>
    </w:p>
    <w:p w14:paraId="2C194628" w14:textId="77777777" w:rsidR="00005FA9" w:rsidRDefault="00005FA9" w:rsidP="00005FA9">
      <w:r>
        <w:t>Jan Logie to the Minister for Disability Issues (01 Jun 2022): How many applications have been received, each year for the last ten years, for Training Support funding? Hon Carmel Sepuloni (Minister for Disability Issues) replied.</w:t>
      </w:r>
      <w:r>
        <w:rPr>
          <w:rStyle w:val="EndnoteReference"/>
          <w:bCs/>
        </w:rPr>
        <w:endnoteReference w:id="47"/>
      </w:r>
    </w:p>
    <w:p w14:paraId="60A54698" w14:textId="77777777" w:rsidR="00005FA9" w:rsidRPr="00645109" w:rsidRDefault="00005FA9" w:rsidP="00005FA9">
      <w:pPr>
        <w:pStyle w:val="Caption"/>
      </w:pPr>
      <w:r>
        <w:t xml:space="preserve">Table 5: (17438) </w:t>
      </w:r>
      <w:bookmarkEnd w:id="300"/>
      <w:r>
        <w:t>The number of applications for Training Support funding received by the Ministry of Social Development (the Ministry) each year for the last ten years</w:t>
      </w:r>
      <w:r>
        <w:rPr>
          <w:b w:val="0"/>
          <w:bCs/>
        </w:rPr>
        <w:t>.</w:t>
      </w:r>
    </w:p>
    <w:tbl>
      <w:tblPr>
        <w:tblStyle w:val="TableGrid"/>
        <w:tblW w:w="0" w:type="auto"/>
        <w:tblLayout w:type="fixed"/>
        <w:tblLook w:val="06A0" w:firstRow="1" w:lastRow="0" w:firstColumn="1" w:lastColumn="0" w:noHBand="1" w:noVBand="1"/>
      </w:tblPr>
      <w:tblGrid>
        <w:gridCol w:w="3045"/>
        <w:gridCol w:w="3046"/>
      </w:tblGrid>
      <w:tr w:rsidR="00005FA9" w:rsidRPr="004F494E" w14:paraId="5693C410" w14:textId="77777777" w:rsidTr="00D171F0">
        <w:trPr>
          <w:trHeight w:val="251"/>
        </w:trPr>
        <w:tc>
          <w:tcPr>
            <w:tcW w:w="3045" w:type="dxa"/>
            <w:shd w:val="clear" w:color="auto" w:fill="auto"/>
          </w:tcPr>
          <w:p w14:paraId="3F921BCC" w14:textId="77777777" w:rsidR="00005FA9" w:rsidRPr="00F86F36" w:rsidRDefault="00005FA9" w:rsidP="00D171F0">
            <w:pPr>
              <w:spacing w:after="0" w:line="240" w:lineRule="auto"/>
              <w:rPr>
                <w:rFonts w:eastAsia="Calibri" w:cs="Arial"/>
                <w:b/>
                <w:bCs/>
                <w:szCs w:val="24"/>
              </w:rPr>
            </w:pPr>
            <w:r w:rsidRPr="00F86F36">
              <w:rPr>
                <w:rFonts w:eastAsia="Calibri" w:cs="Arial"/>
                <w:b/>
                <w:bCs/>
                <w:szCs w:val="24"/>
              </w:rPr>
              <w:t>Financial year</w:t>
            </w:r>
          </w:p>
        </w:tc>
        <w:tc>
          <w:tcPr>
            <w:tcW w:w="3046" w:type="dxa"/>
            <w:shd w:val="clear" w:color="auto" w:fill="auto"/>
          </w:tcPr>
          <w:p w14:paraId="63412E22" w14:textId="77777777" w:rsidR="00005FA9" w:rsidRPr="00F86F36" w:rsidRDefault="00005FA9" w:rsidP="00D171F0">
            <w:pPr>
              <w:spacing w:after="0" w:line="240" w:lineRule="auto"/>
              <w:rPr>
                <w:rFonts w:cs="Arial"/>
                <w:b/>
                <w:bCs/>
                <w:szCs w:val="24"/>
              </w:rPr>
            </w:pPr>
            <w:r w:rsidRPr="00F86F36">
              <w:rPr>
                <w:rFonts w:eastAsia="Calibri" w:cs="Arial"/>
                <w:b/>
                <w:bCs/>
                <w:szCs w:val="24"/>
              </w:rPr>
              <w:t>Totals</w:t>
            </w:r>
          </w:p>
        </w:tc>
      </w:tr>
      <w:tr w:rsidR="00005FA9" w:rsidRPr="004F494E" w14:paraId="19BD5810" w14:textId="77777777" w:rsidTr="00D171F0">
        <w:trPr>
          <w:trHeight w:val="251"/>
        </w:trPr>
        <w:tc>
          <w:tcPr>
            <w:tcW w:w="3045" w:type="dxa"/>
          </w:tcPr>
          <w:p w14:paraId="7DD5815C" w14:textId="77777777" w:rsidR="00005FA9" w:rsidRPr="004F494E" w:rsidRDefault="00005FA9" w:rsidP="00D171F0">
            <w:pPr>
              <w:spacing w:after="0" w:line="240" w:lineRule="auto"/>
              <w:rPr>
                <w:rFonts w:eastAsia="Calibri" w:cs="Arial"/>
                <w:szCs w:val="24"/>
              </w:rPr>
            </w:pPr>
            <w:r w:rsidRPr="004F494E">
              <w:rPr>
                <w:rFonts w:eastAsia="Calibri" w:cs="Arial"/>
                <w:szCs w:val="24"/>
              </w:rPr>
              <w:t>2012/13</w:t>
            </w:r>
          </w:p>
        </w:tc>
        <w:tc>
          <w:tcPr>
            <w:tcW w:w="3046" w:type="dxa"/>
          </w:tcPr>
          <w:p w14:paraId="02D0A7AD" w14:textId="77777777" w:rsidR="00005FA9" w:rsidRPr="004F494E" w:rsidRDefault="00005FA9" w:rsidP="00D171F0">
            <w:pPr>
              <w:spacing w:after="0" w:line="240" w:lineRule="auto"/>
              <w:jc w:val="right"/>
              <w:rPr>
                <w:rFonts w:eastAsia="Calibri" w:cs="Arial"/>
                <w:szCs w:val="24"/>
              </w:rPr>
            </w:pPr>
            <w:r w:rsidRPr="004F494E">
              <w:rPr>
                <w:rFonts w:eastAsia="Calibri" w:cs="Arial"/>
                <w:szCs w:val="24"/>
              </w:rPr>
              <w:t>699</w:t>
            </w:r>
          </w:p>
        </w:tc>
      </w:tr>
      <w:tr w:rsidR="00005FA9" w:rsidRPr="004F494E" w14:paraId="674146FD" w14:textId="77777777" w:rsidTr="00D171F0">
        <w:trPr>
          <w:trHeight w:val="251"/>
        </w:trPr>
        <w:tc>
          <w:tcPr>
            <w:tcW w:w="3045" w:type="dxa"/>
          </w:tcPr>
          <w:p w14:paraId="0FE82AD8" w14:textId="77777777" w:rsidR="00005FA9" w:rsidRPr="004F494E" w:rsidRDefault="00005FA9" w:rsidP="00D171F0">
            <w:pPr>
              <w:spacing w:after="0" w:line="240" w:lineRule="auto"/>
              <w:rPr>
                <w:rFonts w:eastAsia="Calibri" w:cs="Arial"/>
                <w:szCs w:val="24"/>
              </w:rPr>
            </w:pPr>
            <w:r w:rsidRPr="004F494E">
              <w:rPr>
                <w:rFonts w:eastAsia="Calibri" w:cs="Arial"/>
                <w:szCs w:val="24"/>
              </w:rPr>
              <w:t>2013/14</w:t>
            </w:r>
          </w:p>
        </w:tc>
        <w:tc>
          <w:tcPr>
            <w:tcW w:w="3046" w:type="dxa"/>
          </w:tcPr>
          <w:p w14:paraId="58C06075" w14:textId="77777777" w:rsidR="00005FA9" w:rsidRPr="004F494E" w:rsidRDefault="00005FA9" w:rsidP="00D171F0">
            <w:pPr>
              <w:spacing w:after="0" w:line="240" w:lineRule="auto"/>
              <w:jc w:val="right"/>
              <w:rPr>
                <w:rFonts w:eastAsia="Calibri" w:cs="Arial"/>
                <w:szCs w:val="24"/>
              </w:rPr>
            </w:pPr>
            <w:r w:rsidRPr="004F494E">
              <w:rPr>
                <w:rFonts w:eastAsia="Calibri" w:cs="Arial"/>
                <w:szCs w:val="24"/>
              </w:rPr>
              <w:t>639</w:t>
            </w:r>
          </w:p>
        </w:tc>
      </w:tr>
      <w:tr w:rsidR="00005FA9" w:rsidRPr="004F494E" w14:paraId="714BB3E3" w14:textId="77777777" w:rsidTr="00D171F0">
        <w:trPr>
          <w:trHeight w:val="251"/>
        </w:trPr>
        <w:tc>
          <w:tcPr>
            <w:tcW w:w="3045" w:type="dxa"/>
          </w:tcPr>
          <w:p w14:paraId="4E4D339F" w14:textId="77777777" w:rsidR="00005FA9" w:rsidRPr="004F494E" w:rsidRDefault="00005FA9" w:rsidP="00D171F0">
            <w:pPr>
              <w:spacing w:after="0" w:line="240" w:lineRule="auto"/>
              <w:rPr>
                <w:rFonts w:eastAsia="Calibri" w:cs="Arial"/>
                <w:szCs w:val="24"/>
              </w:rPr>
            </w:pPr>
            <w:r w:rsidRPr="004F494E">
              <w:rPr>
                <w:rFonts w:eastAsia="Calibri" w:cs="Arial"/>
                <w:szCs w:val="24"/>
              </w:rPr>
              <w:t>2014/15</w:t>
            </w:r>
          </w:p>
        </w:tc>
        <w:tc>
          <w:tcPr>
            <w:tcW w:w="3046" w:type="dxa"/>
          </w:tcPr>
          <w:p w14:paraId="02C24131" w14:textId="77777777" w:rsidR="00005FA9" w:rsidRPr="004F494E" w:rsidRDefault="00005FA9" w:rsidP="00D171F0">
            <w:pPr>
              <w:spacing w:after="0" w:line="240" w:lineRule="auto"/>
              <w:jc w:val="right"/>
              <w:rPr>
                <w:rFonts w:eastAsia="Calibri" w:cs="Arial"/>
                <w:szCs w:val="24"/>
              </w:rPr>
            </w:pPr>
            <w:r w:rsidRPr="004F494E">
              <w:rPr>
                <w:rFonts w:eastAsia="Calibri" w:cs="Arial"/>
                <w:szCs w:val="24"/>
              </w:rPr>
              <w:t>678</w:t>
            </w:r>
          </w:p>
        </w:tc>
      </w:tr>
      <w:tr w:rsidR="00005FA9" w:rsidRPr="004F494E" w14:paraId="314B04B7" w14:textId="77777777" w:rsidTr="00D171F0">
        <w:trPr>
          <w:trHeight w:val="251"/>
        </w:trPr>
        <w:tc>
          <w:tcPr>
            <w:tcW w:w="3045" w:type="dxa"/>
          </w:tcPr>
          <w:p w14:paraId="0041096D" w14:textId="77777777" w:rsidR="00005FA9" w:rsidRPr="004F494E" w:rsidRDefault="00005FA9" w:rsidP="00D171F0">
            <w:pPr>
              <w:spacing w:after="0" w:line="240" w:lineRule="auto"/>
              <w:rPr>
                <w:rFonts w:eastAsia="Calibri" w:cs="Arial"/>
                <w:szCs w:val="24"/>
              </w:rPr>
            </w:pPr>
            <w:r w:rsidRPr="004F494E">
              <w:rPr>
                <w:rFonts w:eastAsia="Calibri" w:cs="Arial"/>
                <w:szCs w:val="24"/>
              </w:rPr>
              <w:t>2015/16</w:t>
            </w:r>
          </w:p>
        </w:tc>
        <w:tc>
          <w:tcPr>
            <w:tcW w:w="3046" w:type="dxa"/>
          </w:tcPr>
          <w:p w14:paraId="5A134BAD" w14:textId="77777777" w:rsidR="00005FA9" w:rsidRPr="004F494E" w:rsidRDefault="00005FA9" w:rsidP="00D171F0">
            <w:pPr>
              <w:spacing w:after="0" w:line="240" w:lineRule="auto"/>
              <w:jc w:val="right"/>
              <w:rPr>
                <w:rFonts w:eastAsia="Calibri" w:cs="Arial"/>
                <w:szCs w:val="24"/>
              </w:rPr>
            </w:pPr>
            <w:r w:rsidRPr="004F494E">
              <w:rPr>
                <w:rFonts w:eastAsia="Calibri" w:cs="Arial"/>
                <w:szCs w:val="24"/>
              </w:rPr>
              <w:t>570</w:t>
            </w:r>
          </w:p>
        </w:tc>
      </w:tr>
      <w:tr w:rsidR="00005FA9" w:rsidRPr="004F494E" w14:paraId="63153068" w14:textId="77777777" w:rsidTr="00D171F0">
        <w:trPr>
          <w:trHeight w:val="251"/>
        </w:trPr>
        <w:tc>
          <w:tcPr>
            <w:tcW w:w="3045" w:type="dxa"/>
          </w:tcPr>
          <w:p w14:paraId="2600B2AE" w14:textId="77777777" w:rsidR="00005FA9" w:rsidRPr="004F494E" w:rsidRDefault="00005FA9" w:rsidP="00D171F0">
            <w:pPr>
              <w:spacing w:after="0" w:line="240" w:lineRule="auto"/>
              <w:rPr>
                <w:rFonts w:eastAsia="Calibri" w:cs="Arial"/>
                <w:szCs w:val="24"/>
              </w:rPr>
            </w:pPr>
            <w:r w:rsidRPr="004F494E">
              <w:rPr>
                <w:rFonts w:eastAsia="Calibri" w:cs="Arial"/>
                <w:szCs w:val="24"/>
              </w:rPr>
              <w:t>2016/17</w:t>
            </w:r>
          </w:p>
        </w:tc>
        <w:tc>
          <w:tcPr>
            <w:tcW w:w="3046" w:type="dxa"/>
          </w:tcPr>
          <w:p w14:paraId="03D37AA8" w14:textId="77777777" w:rsidR="00005FA9" w:rsidRPr="004F494E" w:rsidRDefault="00005FA9" w:rsidP="00D171F0">
            <w:pPr>
              <w:spacing w:after="0" w:line="240" w:lineRule="auto"/>
              <w:jc w:val="right"/>
              <w:rPr>
                <w:rFonts w:eastAsia="Calibri" w:cs="Arial"/>
                <w:szCs w:val="24"/>
              </w:rPr>
            </w:pPr>
            <w:r w:rsidRPr="004F494E">
              <w:rPr>
                <w:rFonts w:eastAsia="Calibri" w:cs="Arial"/>
                <w:szCs w:val="24"/>
              </w:rPr>
              <w:t>594</w:t>
            </w:r>
          </w:p>
        </w:tc>
      </w:tr>
      <w:tr w:rsidR="00005FA9" w:rsidRPr="004F494E" w14:paraId="31DA0277" w14:textId="77777777" w:rsidTr="00D171F0">
        <w:trPr>
          <w:trHeight w:val="269"/>
        </w:trPr>
        <w:tc>
          <w:tcPr>
            <w:tcW w:w="3045" w:type="dxa"/>
          </w:tcPr>
          <w:p w14:paraId="3EEEFA85" w14:textId="77777777" w:rsidR="00005FA9" w:rsidRPr="004F494E" w:rsidRDefault="00005FA9" w:rsidP="00D171F0">
            <w:pPr>
              <w:spacing w:after="0" w:line="240" w:lineRule="auto"/>
              <w:rPr>
                <w:rFonts w:eastAsia="Calibri" w:cs="Arial"/>
                <w:szCs w:val="24"/>
              </w:rPr>
            </w:pPr>
            <w:r w:rsidRPr="004F494E">
              <w:rPr>
                <w:rFonts w:eastAsia="Calibri" w:cs="Arial"/>
                <w:szCs w:val="24"/>
              </w:rPr>
              <w:t>2017/18</w:t>
            </w:r>
          </w:p>
        </w:tc>
        <w:tc>
          <w:tcPr>
            <w:tcW w:w="3046" w:type="dxa"/>
          </w:tcPr>
          <w:p w14:paraId="710D9A01" w14:textId="77777777" w:rsidR="00005FA9" w:rsidRPr="004F494E" w:rsidRDefault="00005FA9" w:rsidP="00D171F0">
            <w:pPr>
              <w:spacing w:after="0" w:line="240" w:lineRule="auto"/>
              <w:jc w:val="right"/>
              <w:rPr>
                <w:rFonts w:eastAsia="Calibri" w:cs="Arial"/>
                <w:szCs w:val="24"/>
              </w:rPr>
            </w:pPr>
            <w:r w:rsidRPr="004F494E">
              <w:rPr>
                <w:rFonts w:eastAsia="Calibri" w:cs="Arial"/>
                <w:szCs w:val="24"/>
              </w:rPr>
              <w:t>588</w:t>
            </w:r>
          </w:p>
        </w:tc>
      </w:tr>
      <w:tr w:rsidR="00005FA9" w:rsidRPr="004F494E" w14:paraId="7133929D" w14:textId="77777777" w:rsidTr="00D171F0">
        <w:trPr>
          <w:trHeight w:val="251"/>
        </w:trPr>
        <w:tc>
          <w:tcPr>
            <w:tcW w:w="3045" w:type="dxa"/>
          </w:tcPr>
          <w:p w14:paraId="139D4A80" w14:textId="77777777" w:rsidR="00005FA9" w:rsidRPr="004F494E" w:rsidRDefault="00005FA9" w:rsidP="00D171F0">
            <w:pPr>
              <w:spacing w:after="0" w:line="240" w:lineRule="auto"/>
              <w:rPr>
                <w:rFonts w:eastAsia="Calibri" w:cs="Arial"/>
                <w:szCs w:val="24"/>
              </w:rPr>
            </w:pPr>
            <w:r w:rsidRPr="004F494E">
              <w:rPr>
                <w:rFonts w:eastAsia="Calibri" w:cs="Arial"/>
                <w:szCs w:val="24"/>
              </w:rPr>
              <w:t>2018/19</w:t>
            </w:r>
          </w:p>
        </w:tc>
        <w:tc>
          <w:tcPr>
            <w:tcW w:w="3046" w:type="dxa"/>
          </w:tcPr>
          <w:p w14:paraId="143FDDFB" w14:textId="77777777" w:rsidR="00005FA9" w:rsidRPr="004F494E" w:rsidRDefault="00005FA9" w:rsidP="00D171F0">
            <w:pPr>
              <w:spacing w:after="0" w:line="240" w:lineRule="auto"/>
              <w:jc w:val="right"/>
              <w:rPr>
                <w:rFonts w:eastAsia="Calibri" w:cs="Arial"/>
                <w:szCs w:val="24"/>
              </w:rPr>
            </w:pPr>
            <w:r w:rsidRPr="004F494E">
              <w:rPr>
                <w:rFonts w:eastAsia="Calibri" w:cs="Arial"/>
                <w:szCs w:val="24"/>
              </w:rPr>
              <w:t>324</w:t>
            </w:r>
          </w:p>
        </w:tc>
      </w:tr>
      <w:tr w:rsidR="00005FA9" w:rsidRPr="004F494E" w14:paraId="3880D0D7" w14:textId="77777777" w:rsidTr="00D171F0">
        <w:trPr>
          <w:trHeight w:val="251"/>
        </w:trPr>
        <w:tc>
          <w:tcPr>
            <w:tcW w:w="3045" w:type="dxa"/>
          </w:tcPr>
          <w:p w14:paraId="628C8639" w14:textId="77777777" w:rsidR="00005FA9" w:rsidRPr="004F494E" w:rsidRDefault="00005FA9" w:rsidP="00D171F0">
            <w:pPr>
              <w:spacing w:after="0" w:line="240" w:lineRule="auto"/>
              <w:rPr>
                <w:rFonts w:eastAsia="Calibri" w:cs="Arial"/>
                <w:szCs w:val="24"/>
              </w:rPr>
            </w:pPr>
            <w:r w:rsidRPr="004F494E">
              <w:rPr>
                <w:rFonts w:eastAsia="Calibri" w:cs="Arial"/>
                <w:szCs w:val="24"/>
              </w:rPr>
              <w:t>2019/20</w:t>
            </w:r>
          </w:p>
        </w:tc>
        <w:tc>
          <w:tcPr>
            <w:tcW w:w="3046" w:type="dxa"/>
          </w:tcPr>
          <w:p w14:paraId="440615D8" w14:textId="77777777" w:rsidR="00005FA9" w:rsidRPr="004F494E" w:rsidRDefault="00005FA9" w:rsidP="00D171F0">
            <w:pPr>
              <w:spacing w:after="0" w:line="240" w:lineRule="auto"/>
              <w:jc w:val="right"/>
              <w:rPr>
                <w:rFonts w:eastAsia="Calibri" w:cs="Arial"/>
                <w:szCs w:val="24"/>
              </w:rPr>
            </w:pPr>
            <w:r w:rsidRPr="004F494E">
              <w:rPr>
                <w:rFonts w:eastAsia="Calibri" w:cs="Arial"/>
                <w:szCs w:val="24"/>
              </w:rPr>
              <w:t>129</w:t>
            </w:r>
          </w:p>
        </w:tc>
      </w:tr>
      <w:tr w:rsidR="00005FA9" w:rsidRPr="004F494E" w14:paraId="75E4CB3A" w14:textId="77777777" w:rsidTr="00D171F0">
        <w:trPr>
          <w:trHeight w:val="251"/>
        </w:trPr>
        <w:tc>
          <w:tcPr>
            <w:tcW w:w="3045" w:type="dxa"/>
          </w:tcPr>
          <w:p w14:paraId="40D8ABFC" w14:textId="77777777" w:rsidR="00005FA9" w:rsidRPr="004F494E" w:rsidRDefault="00005FA9" w:rsidP="00D171F0">
            <w:pPr>
              <w:spacing w:after="0" w:line="240" w:lineRule="auto"/>
              <w:rPr>
                <w:rFonts w:eastAsia="Calibri" w:cs="Arial"/>
                <w:szCs w:val="24"/>
              </w:rPr>
            </w:pPr>
            <w:r w:rsidRPr="004F494E">
              <w:rPr>
                <w:rFonts w:eastAsia="Calibri" w:cs="Arial"/>
                <w:szCs w:val="24"/>
              </w:rPr>
              <w:t>2020/21</w:t>
            </w:r>
          </w:p>
        </w:tc>
        <w:tc>
          <w:tcPr>
            <w:tcW w:w="3046" w:type="dxa"/>
          </w:tcPr>
          <w:p w14:paraId="534AC141" w14:textId="77777777" w:rsidR="00005FA9" w:rsidRPr="004F494E" w:rsidRDefault="00005FA9" w:rsidP="00D171F0">
            <w:pPr>
              <w:spacing w:after="0" w:line="240" w:lineRule="auto"/>
              <w:jc w:val="right"/>
              <w:rPr>
                <w:rFonts w:eastAsia="Calibri" w:cs="Arial"/>
                <w:szCs w:val="24"/>
              </w:rPr>
            </w:pPr>
            <w:r w:rsidRPr="004F494E">
              <w:rPr>
                <w:rFonts w:eastAsia="Calibri" w:cs="Arial"/>
                <w:szCs w:val="24"/>
              </w:rPr>
              <w:t>96</w:t>
            </w:r>
          </w:p>
        </w:tc>
      </w:tr>
      <w:tr w:rsidR="00005FA9" w:rsidRPr="004F494E" w14:paraId="66E05F3F" w14:textId="77777777" w:rsidTr="00D171F0">
        <w:trPr>
          <w:trHeight w:val="251"/>
        </w:trPr>
        <w:tc>
          <w:tcPr>
            <w:tcW w:w="3045" w:type="dxa"/>
          </w:tcPr>
          <w:p w14:paraId="6555707F" w14:textId="77777777" w:rsidR="00005FA9" w:rsidRPr="004F494E" w:rsidRDefault="00005FA9" w:rsidP="00D171F0">
            <w:pPr>
              <w:tabs>
                <w:tab w:val="left" w:pos="1794"/>
              </w:tabs>
              <w:spacing w:after="0" w:line="240" w:lineRule="auto"/>
              <w:rPr>
                <w:rFonts w:eastAsia="Calibri" w:cs="Arial"/>
                <w:szCs w:val="24"/>
              </w:rPr>
            </w:pPr>
            <w:r w:rsidRPr="004F494E">
              <w:rPr>
                <w:rFonts w:eastAsia="Calibri" w:cs="Arial"/>
                <w:szCs w:val="24"/>
              </w:rPr>
              <w:t>2021/22</w:t>
            </w:r>
            <w:r>
              <w:rPr>
                <w:rFonts w:eastAsia="Calibri" w:cs="Arial"/>
                <w:szCs w:val="24"/>
              </w:rPr>
              <w:t xml:space="preserve"> </w:t>
            </w:r>
            <w:r>
              <w:t>as at 31/3/22</w:t>
            </w:r>
          </w:p>
        </w:tc>
        <w:tc>
          <w:tcPr>
            <w:tcW w:w="3046" w:type="dxa"/>
          </w:tcPr>
          <w:p w14:paraId="19C99EDE" w14:textId="77777777" w:rsidR="00005FA9" w:rsidRPr="004F494E" w:rsidRDefault="00005FA9" w:rsidP="00D171F0">
            <w:pPr>
              <w:spacing w:after="0" w:line="240" w:lineRule="auto"/>
              <w:jc w:val="right"/>
              <w:rPr>
                <w:rFonts w:eastAsia="Calibri" w:cs="Arial"/>
                <w:szCs w:val="24"/>
              </w:rPr>
            </w:pPr>
            <w:r w:rsidRPr="004F494E">
              <w:rPr>
                <w:rFonts w:eastAsia="Calibri" w:cs="Arial"/>
                <w:szCs w:val="24"/>
              </w:rPr>
              <w:t>33</w:t>
            </w:r>
          </w:p>
        </w:tc>
      </w:tr>
    </w:tbl>
    <w:p w14:paraId="3E79F5ED" w14:textId="77777777" w:rsidR="00005FA9" w:rsidRDefault="00005FA9" w:rsidP="00005FA9"/>
    <w:p w14:paraId="09758E6B" w14:textId="77777777" w:rsidR="00005FA9" w:rsidRDefault="00005FA9">
      <w:pPr>
        <w:spacing w:after="160" w:line="259" w:lineRule="auto"/>
        <w:rPr>
          <w:rFonts w:eastAsiaTheme="majorEastAsia" w:cstheme="majorBidi"/>
          <w:color w:val="002060"/>
          <w:sz w:val="32"/>
          <w:szCs w:val="24"/>
        </w:rPr>
      </w:pPr>
      <w:r>
        <w:br w:type="page"/>
      </w:r>
    </w:p>
    <w:p w14:paraId="0D07F204" w14:textId="67DC4CA7" w:rsidR="000655A8" w:rsidRDefault="00DD3AD8" w:rsidP="000655A8">
      <w:pPr>
        <w:pStyle w:val="Heading3"/>
      </w:pPr>
      <w:bookmarkStart w:id="301" w:name="_Toc133076286"/>
      <w:r>
        <w:lastRenderedPageBreak/>
        <w:t xml:space="preserve">Parliamentary Written Question </w:t>
      </w:r>
      <w:r w:rsidR="00277BE0">
        <w:t>17439 (2022)</w:t>
      </w:r>
      <w:bookmarkEnd w:id="301"/>
    </w:p>
    <w:p w14:paraId="790B6F0E" w14:textId="073B67C0" w:rsidR="00380884" w:rsidRPr="00FE43D0" w:rsidRDefault="00277BE0" w:rsidP="00277BE0">
      <w:pPr>
        <w:spacing w:after="0"/>
      </w:pPr>
      <w:r>
        <w:t>Jan Logie to the Minister for Disability Issues (01 Jun 2022): How many individuals have received Job Support funding, each year for the last ten years?</w:t>
      </w:r>
      <w:r w:rsidR="006D6BBD">
        <w:t xml:space="preserve"> </w:t>
      </w:r>
      <w:r>
        <w:t>Hon Carmel Sepuloni (Minister for Disability Issues) replied</w:t>
      </w:r>
      <w:r w:rsidR="006D6BBD">
        <w:t>.</w:t>
      </w:r>
      <w:r w:rsidR="006D6BBD">
        <w:rPr>
          <w:rStyle w:val="EndnoteReference"/>
        </w:rPr>
        <w:endnoteReference w:id="48"/>
      </w:r>
    </w:p>
    <w:p w14:paraId="06B2A00A" w14:textId="10CD0960" w:rsidR="000E2E94" w:rsidRPr="00645109" w:rsidRDefault="00E862F8" w:rsidP="00BE397F">
      <w:pPr>
        <w:pStyle w:val="Caption"/>
      </w:pPr>
      <w:bookmarkStart w:id="302" w:name="_Toc132543858"/>
      <w:r>
        <w:t>Table 4</w:t>
      </w:r>
      <w:r w:rsidR="00905B4E">
        <w:t>:</w:t>
      </w:r>
      <w:r w:rsidR="006D6BBD">
        <w:t xml:space="preserve"> (17439)</w:t>
      </w:r>
      <w:r w:rsidR="00645109">
        <w:t xml:space="preserve"> </w:t>
      </w:r>
      <w:r w:rsidR="006D6BBD">
        <w:t>The number of individuals who have received Job Support funding each year over the last ten years</w:t>
      </w:r>
      <w:bookmarkEnd w:id="302"/>
      <w:r w:rsidR="000D0A2D">
        <w:t xml:space="preserve">. </w:t>
      </w:r>
    </w:p>
    <w:tbl>
      <w:tblPr>
        <w:tblStyle w:val="TableGrid"/>
        <w:tblW w:w="0" w:type="auto"/>
        <w:tblLayout w:type="fixed"/>
        <w:tblLook w:val="06A0" w:firstRow="1" w:lastRow="0" w:firstColumn="1" w:lastColumn="0" w:noHBand="1" w:noVBand="1"/>
      </w:tblPr>
      <w:tblGrid>
        <w:gridCol w:w="3045"/>
        <w:gridCol w:w="3046"/>
      </w:tblGrid>
      <w:tr w:rsidR="000E2E94" w:rsidRPr="004F494E" w14:paraId="617FBAFD" w14:textId="77777777" w:rsidTr="00F86F36">
        <w:trPr>
          <w:trHeight w:val="251"/>
        </w:trPr>
        <w:tc>
          <w:tcPr>
            <w:tcW w:w="3045" w:type="dxa"/>
            <w:shd w:val="clear" w:color="auto" w:fill="auto"/>
          </w:tcPr>
          <w:p w14:paraId="0DB25D4D" w14:textId="77777777" w:rsidR="000E2E94" w:rsidRPr="00F86F36" w:rsidRDefault="000E2E94" w:rsidP="00E46857">
            <w:pPr>
              <w:spacing w:after="0" w:line="240" w:lineRule="auto"/>
              <w:rPr>
                <w:rFonts w:eastAsia="Calibri" w:cs="Arial"/>
                <w:b/>
                <w:bCs/>
                <w:szCs w:val="24"/>
              </w:rPr>
            </w:pPr>
            <w:r w:rsidRPr="00F86F36">
              <w:rPr>
                <w:rFonts w:eastAsia="Calibri" w:cs="Arial"/>
                <w:b/>
                <w:bCs/>
                <w:szCs w:val="24"/>
              </w:rPr>
              <w:t>Financial year</w:t>
            </w:r>
          </w:p>
        </w:tc>
        <w:tc>
          <w:tcPr>
            <w:tcW w:w="3046" w:type="dxa"/>
            <w:shd w:val="clear" w:color="auto" w:fill="auto"/>
          </w:tcPr>
          <w:p w14:paraId="0EB21942" w14:textId="77777777" w:rsidR="000E2E94" w:rsidRPr="00F86F36" w:rsidRDefault="000E2E94" w:rsidP="00E46857">
            <w:pPr>
              <w:spacing w:after="0" w:line="240" w:lineRule="auto"/>
              <w:rPr>
                <w:rFonts w:cs="Arial"/>
                <w:b/>
                <w:bCs/>
                <w:szCs w:val="24"/>
              </w:rPr>
            </w:pPr>
            <w:r w:rsidRPr="00F86F36">
              <w:rPr>
                <w:rFonts w:eastAsia="Calibri" w:cs="Arial"/>
                <w:b/>
                <w:bCs/>
                <w:szCs w:val="24"/>
              </w:rPr>
              <w:t>Totals</w:t>
            </w:r>
          </w:p>
        </w:tc>
      </w:tr>
      <w:tr w:rsidR="000E2E94" w:rsidRPr="004F494E" w14:paraId="0FD70148" w14:textId="77777777" w:rsidTr="00E46857">
        <w:trPr>
          <w:trHeight w:val="251"/>
        </w:trPr>
        <w:tc>
          <w:tcPr>
            <w:tcW w:w="3045" w:type="dxa"/>
          </w:tcPr>
          <w:p w14:paraId="7C3556B8" w14:textId="77777777" w:rsidR="000E2E94" w:rsidRPr="004F494E" w:rsidRDefault="000E2E94" w:rsidP="00E46857">
            <w:pPr>
              <w:spacing w:after="0" w:line="240" w:lineRule="auto"/>
              <w:rPr>
                <w:rFonts w:eastAsia="Calibri" w:cs="Arial"/>
                <w:szCs w:val="24"/>
              </w:rPr>
            </w:pPr>
            <w:r w:rsidRPr="004F494E">
              <w:rPr>
                <w:rFonts w:eastAsia="Calibri" w:cs="Arial"/>
                <w:szCs w:val="24"/>
              </w:rPr>
              <w:t>2012/13</w:t>
            </w:r>
          </w:p>
        </w:tc>
        <w:tc>
          <w:tcPr>
            <w:tcW w:w="3046" w:type="dxa"/>
          </w:tcPr>
          <w:p w14:paraId="254CD6BE" w14:textId="77777777" w:rsidR="000E2E94" w:rsidRPr="004F494E" w:rsidRDefault="000E2E94" w:rsidP="00E46857">
            <w:pPr>
              <w:spacing w:after="0" w:line="240" w:lineRule="auto"/>
              <w:jc w:val="right"/>
              <w:rPr>
                <w:rFonts w:eastAsia="Calibri" w:cs="Arial"/>
                <w:szCs w:val="24"/>
              </w:rPr>
            </w:pPr>
            <w:r w:rsidRPr="004F494E">
              <w:rPr>
                <w:rFonts w:eastAsia="Calibri" w:cs="Arial"/>
                <w:szCs w:val="24"/>
              </w:rPr>
              <w:t>1,677</w:t>
            </w:r>
          </w:p>
        </w:tc>
      </w:tr>
      <w:tr w:rsidR="000E2E94" w:rsidRPr="004F494E" w14:paraId="3EB30DBE" w14:textId="77777777" w:rsidTr="00E46857">
        <w:trPr>
          <w:trHeight w:val="251"/>
        </w:trPr>
        <w:tc>
          <w:tcPr>
            <w:tcW w:w="3045" w:type="dxa"/>
          </w:tcPr>
          <w:p w14:paraId="4658DADB" w14:textId="77777777" w:rsidR="000E2E94" w:rsidRPr="004F494E" w:rsidRDefault="000E2E94" w:rsidP="00E46857">
            <w:pPr>
              <w:spacing w:after="0" w:line="240" w:lineRule="auto"/>
              <w:rPr>
                <w:rFonts w:eastAsia="Calibri" w:cs="Arial"/>
                <w:szCs w:val="24"/>
              </w:rPr>
            </w:pPr>
            <w:r w:rsidRPr="004F494E">
              <w:rPr>
                <w:rFonts w:eastAsia="Calibri" w:cs="Arial"/>
                <w:szCs w:val="24"/>
              </w:rPr>
              <w:t>2013/14</w:t>
            </w:r>
          </w:p>
        </w:tc>
        <w:tc>
          <w:tcPr>
            <w:tcW w:w="3046" w:type="dxa"/>
          </w:tcPr>
          <w:p w14:paraId="59D0EA22" w14:textId="77777777" w:rsidR="000E2E94" w:rsidRPr="004F494E" w:rsidRDefault="000E2E94" w:rsidP="00E46857">
            <w:pPr>
              <w:spacing w:after="0" w:line="240" w:lineRule="auto"/>
              <w:jc w:val="right"/>
              <w:rPr>
                <w:rFonts w:eastAsia="Calibri" w:cs="Arial"/>
                <w:szCs w:val="24"/>
              </w:rPr>
            </w:pPr>
            <w:r w:rsidRPr="004F494E">
              <w:rPr>
                <w:rFonts w:eastAsia="Calibri" w:cs="Arial"/>
                <w:szCs w:val="24"/>
              </w:rPr>
              <w:t>1,185</w:t>
            </w:r>
          </w:p>
        </w:tc>
      </w:tr>
      <w:tr w:rsidR="000E2E94" w:rsidRPr="004F494E" w14:paraId="537C1DD9" w14:textId="77777777" w:rsidTr="00E46857">
        <w:trPr>
          <w:trHeight w:val="251"/>
        </w:trPr>
        <w:tc>
          <w:tcPr>
            <w:tcW w:w="3045" w:type="dxa"/>
          </w:tcPr>
          <w:p w14:paraId="7623015F" w14:textId="77777777" w:rsidR="000E2E94" w:rsidRPr="004F494E" w:rsidRDefault="000E2E94" w:rsidP="00E46857">
            <w:pPr>
              <w:spacing w:after="0" w:line="240" w:lineRule="auto"/>
              <w:rPr>
                <w:rFonts w:eastAsia="Calibri" w:cs="Arial"/>
                <w:szCs w:val="24"/>
              </w:rPr>
            </w:pPr>
            <w:r w:rsidRPr="004F494E">
              <w:rPr>
                <w:rFonts w:eastAsia="Calibri" w:cs="Arial"/>
                <w:szCs w:val="24"/>
              </w:rPr>
              <w:t>2014/15</w:t>
            </w:r>
          </w:p>
        </w:tc>
        <w:tc>
          <w:tcPr>
            <w:tcW w:w="3046" w:type="dxa"/>
          </w:tcPr>
          <w:p w14:paraId="37F88110" w14:textId="77777777" w:rsidR="000E2E94" w:rsidRPr="004F494E" w:rsidRDefault="000E2E94" w:rsidP="00E46857">
            <w:pPr>
              <w:spacing w:after="0" w:line="240" w:lineRule="auto"/>
              <w:jc w:val="right"/>
              <w:rPr>
                <w:rFonts w:eastAsia="Calibri" w:cs="Arial"/>
                <w:szCs w:val="24"/>
              </w:rPr>
            </w:pPr>
            <w:r w:rsidRPr="004F494E">
              <w:rPr>
                <w:rFonts w:cs="Arial"/>
                <w:szCs w:val="24"/>
              </w:rPr>
              <w:t>1,575</w:t>
            </w:r>
          </w:p>
        </w:tc>
      </w:tr>
      <w:tr w:rsidR="000E2E94" w:rsidRPr="004F494E" w14:paraId="1466461C" w14:textId="77777777" w:rsidTr="00E46857">
        <w:trPr>
          <w:trHeight w:val="251"/>
        </w:trPr>
        <w:tc>
          <w:tcPr>
            <w:tcW w:w="3045" w:type="dxa"/>
          </w:tcPr>
          <w:p w14:paraId="5B920245" w14:textId="77777777" w:rsidR="000E2E94" w:rsidRPr="004F494E" w:rsidRDefault="000E2E94" w:rsidP="00E46857">
            <w:pPr>
              <w:spacing w:after="0" w:line="240" w:lineRule="auto"/>
              <w:rPr>
                <w:rFonts w:eastAsia="Calibri" w:cs="Arial"/>
                <w:szCs w:val="24"/>
              </w:rPr>
            </w:pPr>
            <w:r w:rsidRPr="004F494E">
              <w:rPr>
                <w:rFonts w:eastAsia="Calibri" w:cs="Arial"/>
                <w:szCs w:val="24"/>
              </w:rPr>
              <w:t>2015/16</w:t>
            </w:r>
          </w:p>
        </w:tc>
        <w:tc>
          <w:tcPr>
            <w:tcW w:w="3046" w:type="dxa"/>
          </w:tcPr>
          <w:p w14:paraId="0B6DF540" w14:textId="77777777" w:rsidR="000E2E94" w:rsidRPr="004F494E" w:rsidRDefault="000E2E94" w:rsidP="00E46857">
            <w:pPr>
              <w:spacing w:after="0" w:line="240" w:lineRule="auto"/>
              <w:jc w:val="right"/>
              <w:rPr>
                <w:rFonts w:eastAsia="Calibri" w:cs="Arial"/>
                <w:szCs w:val="24"/>
              </w:rPr>
            </w:pPr>
            <w:r w:rsidRPr="004F494E">
              <w:rPr>
                <w:rFonts w:cs="Arial"/>
                <w:szCs w:val="24"/>
              </w:rPr>
              <w:t>1,476</w:t>
            </w:r>
          </w:p>
        </w:tc>
      </w:tr>
      <w:tr w:rsidR="000E2E94" w:rsidRPr="004F494E" w14:paraId="52488706" w14:textId="77777777" w:rsidTr="00E46857">
        <w:trPr>
          <w:trHeight w:val="251"/>
        </w:trPr>
        <w:tc>
          <w:tcPr>
            <w:tcW w:w="3045" w:type="dxa"/>
          </w:tcPr>
          <w:p w14:paraId="329C59F1" w14:textId="77777777" w:rsidR="000E2E94" w:rsidRPr="004F494E" w:rsidRDefault="000E2E94" w:rsidP="00E46857">
            <w:pPr>
              <w:spacing w:after="0" w:line="240" w:lineRule="auto"/>
              <w:rPr>
                <w:rFonts w:eastAsia="Calibri" w:cs="Arial"/>
                <w:szCs w:val="24"/>
              </w:rPr>
            </w:pPr>
            <w:r w:rsidRPr="004F494E">
              <w:rPr>
                <w:rFonts w:eastAsia="Calibri" w:cs="Arial"/>
                <w:szCs w:val="24"/>
              </w:rPr>
              <w:t>2016/17</w:t>
            </w:r>
          </w:p>
        </w:tc>
        <w:tc>
          <w:tcPr>
            <w:tcW w:w="3046" w:type="dxa"/>
          </w:tcPr>
          <w:p w14:paraId="33334E1D" w14:textId="77777777" w:rsidR="000E2E94" w:rsidRPr="004F494E" w:rsidRDefault="000E2E94" w:rsidP="00E46857">
            <w:pPr>
              <w:spacing w:after="0" w:line="240" w:lineRule="auto"/>
              <w:jc w:val="right"/>
              <w:rPr>
                <w:rFonts w:eastAsia="Calibri" w:cs="Arial"/>
                <w:szCs w:val="24"/>
              </w:rPr>
            </w:pPr>
            <w:r w:rsidRPr="004F494E">
              <w:rPr>
                <w:rFonts w:cs="Arial"/>
                <w:szCs w:val="24"/>
              </w:rPr>
              <w:t>1,341</w:t>
            </w:r>
          </w:p>
        </w:tc>
      </w:tr>
      <w:tr w:rsidR="000E2E94" w:rsidRPr="004F494E" w14:paraId="47E541D3" w14:textId="77777777" w:rsidTr="00E46857">
        <w:trPr>
          <w:trHeight w:val="269"/>
        </w:trPr>
        <w:tc>
          <w:tcPr>
            <w:tcW w:w="3045" w:type="dxa"/>
          </w:tcPr>
          <w:p w14:paraId="4370DEE0" w14:textId="77777777" w:rsidR="000E2E94" w:rsidRPr="004F494E" w:rsidRDefault="000E2E94" w:rsidP="00E46857">
            <w:pPr>
              <w:spacing w:after="0" w:line="240" w:lineRule="auto"/>
              <w:rPr>
                <w:rFonts w:eastAsia="Calibri" w:cs="Arial"/>
                <w:szCs w:val="24"/>
              </w:rPr>
            </w:pPr>
            <w:r w:rsidRPr="004F494E">
              <w:rPr>
                <w:rFonts w:eastAsia="Calibri" w:cs="Arial"/>
                <w:szCs w:val="24"/>
              </w:rPr>
              <w:t>2017/18</w:t>
            </w:r>
          </w:p>
        </w:tc>
        <w:tc>
          <w:tcPr>
            <w:tcW w:w="3046" w:type="dxa"/>
          </w:tcPr>
          <w:p w14:paraId="5C230E37" w14:textId="77777777" w:rsidR="000E2E94" w:rsidRPr="004F494E" w:rsidRDefault="000E2E94" w:rsidP="00E46857">
            <w:pPr>
              <w:spacing w:after="0" w:line="240" w:lineRule="auto"/>
              <w:jc w:val="right"/>
              <w:rPr>
                <w:rFonts w:eastAsia="Calibri" w:cs="Arial"/>
                <w:szCs w:val="24"/>
              </w:rPr>
            </w:pPr>
            <w:r w:rsidRPr="004F494E">
              <w:rPr>
                <w:rFonts w:cs="Arial"/>
                <w:szCs w:val="24"/>
              </w:rPr>
              <w:t>1,446</w:t>
            </w:r>
          </w:p>
        </w:tc>
      </w:tr>
      <w:tr w:rsidR="000E2E94" w:rsidRPr="004F494E" w14:paraId="5620D6D7" w14:textId="77777777" w:rsidTr="00E46857">
        <w:trPr>
          <w:trHeight w:val="251"/>
        </w:trPr>
        <w:tc>
          <w:tcPr>
            <w:tcW w:w="3045" w:type="dxa"/>
          </w:tcPr>
          <w:p w14:paraId="411B206E" w14:textId="77777777" w:rsidR="000E2E94" w:rsidRPr="004F494E" w:rsidRDefault="000E2E94" w:rsidP="00E46857">
            <w:pPr>
              <w:spacing w:after="0" w:line="240" w:lineRule="auto"/>
              <w:rPr>
                <w:rFonts w:eastAsia="Calibri" w:cs="Arial"/>
                <w:szCs w:val="24"/>
              </w:rPr>
            </w:pPr>
            <w:r w:rsidRPr="004F494E">
              <w:rPr>
                <w:rFonts w:eastAsia="Calibri" w:cs="Arial"/>
                <w:szCs w:val="24"/>
              </w:rPr>
              <w:t>2018/19</w:t>
            </w:r>
          </w:p>
        </w:tc>
        <w:tc>
          <w:tcPr>
            <w:tcW w:w="3046" w:type="dxa"/>
          </w:tcPr>
          <w:p w14:paraId="48B80190" w14:textId="77777777" w:rsidR="000E2E94" w:rsidRPr="004F494E" w:rsidRDefault="000E2E94" w:rsidP="00E46857">
            <w:pPr>
              <w:spacing w:after="0" w:line="240" w:lineRule="auto"/>
              <w:jc w:val="right"/>
              <w:rPr>
                <w:rFonts w:eastAsia="Calibri" w:cs="Arial"/>
                <w:szCs w:val="24"/>
              </w:rPr>
            </w:pPr>
            <w:r w:rsidRPr="004F494E">
              <w:rPr>
                <w:rFonts w:cs="Arial"/>
                <w:szCs w:val="24"/>
              </w:rPr>
              <w:t>1,272</w:t>
            </w:r>
          </w:p>
        </w:tc>
      </w:tr>
      <w:tr w:rsidR="000E2E94" w:rsidRPr="004F494E" w14:paraId="6B2D8AFE" w14:textId="77777777" w:rsidTr="00E46857">
        <w:trPr>
          <w:trHeight w:val="251"/>
        </w:trPr>
        <w:tc>
          <w:tcPr>
            <w:tcW w:w="3045" w:type="dxa"/>
          </w:tcPr>
          <w:p w14:paraId="44DED4AA" w14:textId="77777777" w:rsidR="000E2E94" w:rsidRPr="004F494E" w:rsidRDefault="000E2E94" w:rsidP="00E46857">
            <w:pPr>
              <w:spacing w:after="0" w:line="240" w:lineRule="auto"/>
              <w:rPr>
                <w:rFonts w:eastAsia="Calibri" w:cs="Arial"/>
                <w:szCs w:val="24"/>
              </w:rPr>
            </w:pPr>
            <w:r w:rsidRPr="004F494E">
              <w:rPr>
                <w:rFonts w:eastAsia="Calibri" w:cs="Arial"/>
                <w:szCs w:val="24"/>
              </w:rPr>
              <w:t>2019/20</w:t>
            </w:r>
          </w:p>
        </w:tc>
        <w:tc>
          <w:tcPr>
            <w:tcW w:w="3046" w:type="dxa"/>
          </w:tcPr>
          <w:p w14:paraId="33916071" w14:textId="77777777" w:rsidR="000E2E94" w:rsidRPr="004F494E" w:rsidRDefault="000E2E94" w:rsidP="00E46857">
            <w:pPr>
              <w:spacing w:after="0" w:line="240" w:lineRule="auto"/>
              <w:jc w:val="right"/>
              <w:rPr>
                <w:rFonts w:eastAsia="Calibri" w:cs="Arial"/>
                <w:szCs w:val="24"/>
              </w:rPr>
            </w:pPr>
            <w:r w:rsidRPr="004F494E">
              <w:rPr>
                <w:rFonts w:cs="Arial"/>
                <w:szCs w:val="24"/>
              </w:rPr>
              <w:t>1,143</w:t>
            </w:r>
          </w:p>
        </w:tc>
      </w:tr>
      <w:tr w:rsidR="000E2E94" w:rsidRPr="004F494E" w14:paraId="5A018705" w14:textId="77777777" w:rsidTr="00E46857">
        <w:trPr>
          <w:trHeight w:val="251"/>
        </w:trPr>
        <w:tc>
          <w:tcPr>
            <w:tcW w:w="3045" w:type="dxa"/>
          </w:tcPr>
          <w:p w14:paraId="4D3A181A" w14:textId="77777777" w:rsidR="000E2E94" w:rsidRPr="004F494E" w:rsidRDefault="000E2E94" w:rsidP="00E46857">
            <w:pPr>
              <w:spacing w:after="0" w:line="240" w:lineRule="auto"/>
              <w:rPr>
                <w:rFonts w:eastAsia="Calibri" w:cs="Arial"/>
                <w:szCs w:val="24"/>
              </w:rPr>
            </w:pPr>
            <w:r w:rsidRPr="004F494E">
              <w:rPr>
                <w:rFonts w:eastAsia="Calibri" w:cs="Arial"/>
                <w:szCs w:val="24"/>
              </w:rPr>
              <w:t>2020/21</w:t>
            </w:r>
          </w:p>
        </w:tc>
        <w:tc>
          <w:tcPr>
            <w:tcW w:w="3046" w:type="dxa"/>
          </w:tcPr>
          <w:p w14:paraId="48BB7197" w14:textId="77777777" w:rsidR="000E2E94" w:rsidRPr="004F494E" w:rsidRDefault="000E2E94" w:rsidP="00E46857">
            <w:pPr>
              <w:spacing w:after="0" w:line="240" w:lineRule="auto"/>
              <w:jc w:val="right"/>
              <w:rPr>
                <w:rFonts w:eastAsia="Calibri" w:cs="Arial"/>
                <w:szCs w:val="24"/>
              </w:rPr>
            </w:pPr>
            <w:r w:rsidRPr="004F494E">
              <w:rPr>
                <w:rFonts w:cs="Arial"/>
                <w:szCs w:val="24"/>
              </w:rPr>
              <w:t>933</w:t>
            </w:r>
          </w:p>
        </w:tc>
      </w:tr>
      <w:tr w:rsidR="000E2E94" w:rsidRPr="004F494E" w14:paraId="5C3F2040" w14:textId="77777777" w:rsidTr="00E46857">
        <w:trPr>
          <w:trHeight w:val="251"/>
        </w:trPr>
        <w:tc>
          <w:tcPr>
            <w:tcW w:w="3045" w:type="dxa"/>
          </w:tcPr>
          <w:p w14:paraId="07A5AA81" w14:textId="2B4254FA" w:rsidR="000E2E94" w:rsidRPr="004F494E" w:rsidRDefault="000E2E94" w:rsidP="00E46857">
            <w:pPr>
              <w:spacing w:after="0" w:line="240" w:lineRule="auto"/>
              <w:rPr>
                <w:rFonts w:eastAsia="Calibri" w:cs="Arial"/>
                <w:szCs w:val="24"/>
              </w:rPr>
            </w:pPr>
            <w:r w:rsidRPr="004F494E">
              <w:rPr>
                <w:rFonts w:eastAsia="Calibri" w:cs="Arial"/>
                <w:szCs w:val="24"/>
              </w:rPr>
              <w:t>2021/22</w:t>
            </w:r>
            <w:r w:rsidR="00E3516E">
              <w:rPr>
                <w:rFonts w:eastAsia="Calibri" w:cs="Arial"/>
                <w:szCs w:val="24"/>
              </w:rPr>
              <w:t xml:space="preserve"> </w:t>
            </w:r>
            <w:r w:rsidR="00E3516E">
              <w:t>as at 31/3/22</w:t>
            </w:r>
          </w:p>
        </w:tc>
        <w:tc>
          <w:tcPr>
            <w:tcW w:w="3046" w:type="dxa"/>
          </w:tcPr>
          <w:p w14:paraId="798AC89D" w14:textId="77777777" w:rsidR="000E2E94" w:rsidRPr="004F494E" w:rsidRDefault="000E2E94" w:rsidP="00E46857">
            <w:pPr>
              <w:spacing w:after="0" w:line="240" w:lineRule="auto"/>
              <w:jc w:val="right"/>
              <w:rPr>
                <w:rFonts w:eastAsia="Calibri" w:cs="Arial"/>
                <w:szCs w:val="24"/>
              </w:rPr>
            </w:pPr>
            <w:r w:rsidRPr="004F494E">
              <w:rPr>
                <w:rFonts w:cs="Arial"/>
                <w:szCs w:val="24"/>
              </w:rPr>
              <w:t>795</w:t>
            </w:r>
          </w:p>
        </w:tc>
      </w:tr>
    </w:tbl>
    <w:p w14:paraId="662A003D" w14:textId="77777777" w:rsidR="000655A8" w:rsidRDefault="000655A8" w:rsidP="000655A8">
      <w:pPr>
        <w:pStyle w:val="Heading3"/>
      </w:pPr>
      <w:bookmarkStart w:id="303" w:name="_Toc133076287"/>
      <w:r>
        <w:t xml:space="preserve">Parliamentary Written Question </w:t>
      </w:r>
      <w:r w:rsidR="005C4C21">
        <w:t>17440 (2022)</w:t>
      </w:r>
      <w:bookmarkEnd w:id="303"/>
    </w:p>
    <w:p w14:paraId="540A8D4D" w14:textId="31500704" w:rsidR="005C4C21" w:rsidRPr="004F494E" w:rsidRDefault="005C4C21" w:rsidP="005C4C21">
      <w:r>
        <w:t>Jan Logie to the Minister for Disability Issues (01 Jun 2022): How many applications have been received, each year for the last ten years, for Job Support funding? Hon Carmel Sepuloni (Minister for Disability Issues) replied.</w:t>
      </w:r>
      <w:r>
        <w:rPr>
          <w:rStyle w:val="EndnoteReference"/>
          <w:bCs/>
        </w:rPr>
        <w:endnoteReference w:id="49"/>
      </w:r>
    </w:p>
    <w:p w14:paraId="11935193" w14:textId="4FB868A7" w:rsidR="000E2E94" w:rsidRPr="00F86F36" w:rsidRDefault="00E862F8" w:rsidP="00BE397F">
      <w:pPr>
        <w:pStyle w:val="Caption"/>
        <w:rPr>
          <w:b w:val="0"/>
          <w:bCs/>
        </w:rPr>
      </w:pPr>
      <w:bookmarkStart w:id="304" w:name="_Toc132543860"/>
      <w:r>
        <w:t>Table 6</w:t>
      </w:r>
      <w:r w:rsidR="00905B4E">
        <w:t>:</w:t>
      </w:r>
      <w:r w:rsidR="005C4C21">
        <w:t xml:space="preserve"> (17440)</w:t>
      </w:r>
      <w:r w:rsidR="00F86F36">
        <w:t xml:space="preserve"> </w:t>
      </w:r>
      <w:bookmarkEnd w:id="304"/>
      <w:r w:rsidR="005C4C21">
        <w:t>the number of applications for Job Support funding received by the Ministry of Social Development each year for the last ten years.</w:t>
      </w:r>
    </w:p>
    <w:tbl>
      <w:tblPr>
        <w:tblStyle w:val="TableGrid"/>
        <w:tblW w:w="0" w:type="auto"/>
        <w:tblLayout w:type="fixed"/>
        <w:tblLook w:val="06A0" w:firstRow="1" w:lastRow="0" w:firstColumn="1" w:lastColumn="0" w:noHBand="1" w:noVBand="1"/>
      </w:tblPr>
      <w:tblGrid>
        <w:gridCol w:w="3045"/>
        <w:gridCol w:w="3046"/>
      </w:tblGrid>
      <w:tr w:rsidR="00E46857" w:rsidRPr="00E46857" w14:paraId="11F950CE" w14:textId="77777777" w:rsidTr="00F86F36">
        <w:trPr>
          <w:trHeight w:val="251"/>
        </w:trPr>
        <w:tc>
          <w:tcPr>
            <w:tcW w:w="3045" w:type="dxa"/>
            <w:shd w:val="clear" w:color="auto" w:fill="auto"/>
          </w:tcPr>
          <w:p w14:paraId="5BAD29C0" w14:textId="77777777" w:rsidR="000E2E94" w:rsidRPr="00F86F36" w:rsidRDefault="000E2E94" w:rsidP="00E46857">
            <w:pPr>
              <w:spacing w:after="0" w:line="240" w:lineRule="auto"/>
              <w:rPr>
                <w:rFonts w:eastAsia="Calibri" w:cs="Arial"/>
                <w:b/>
                <w:bCs/>
                <w:color w:val="auto"/>
                <w:szCs w:val="24"/>
              </w:rPr>
            </w:pPr>
            <w:r w:rsidRPr="00F86F36">
              <w:rPr>
                <w:rFonts w:eastAsia="Calibri" w:cs="Arial"/>
                <w:b/>
                <w:bCs/>
                <w:color w:val="auto"/>
                <w:szCs w:val="24"/>
              </w:rPr>
              <w:t>Financial year</w:t>
            </w:r>
          </w:p>
        </w:tc>
        <w:tc>
          <w:tcPr>
            <w:tcW w:w="3046" w:type="dxa"/>
            <w:shd w:val="clear" w:color="auto" w:fill="auto"/>
          </w:tcPr>
          <w:p w14:paraId="1D27912E" w14:textId="77777777" w:rsidR="000E2E94" w:rsidRPr="00F86F36" w:rsidRDefault="000E2E94" w:rsidP="00E46857">
            <w:pPr>
              <w:spacing w:after="0" w:line="240" w:lineRule="auto"/>
              <w:rPr>
                <w:rFonts w:cs="Arial"/>
                <w:b/>
                <w:bCs/>
                <w:color w:val="auto"/>
                <w:szCs w:val="24"/>
              </w:rPr>
            </w:pPr>
            <w:r w:rsidRPr="00F86F36">
              <w:rPr>
                <w:rFonts w:eastAsia="Calibri" w:cs="Arial"/>
                <w:b/>
                <w:bCs/>
                <w:color w:val="auto"/>
                <w:szCs w:val="24"/>
              </w:rPr>
              <w:t>Totals</w:t>
            </w:r>
          </w:p>
        </w:tc>
      </w:tr>
      <w:tr w:rsidR="00E46857" w:rsidRPr="00E46857" w14:paraId="33DDA4F8" w14:textId="77777777" w:rsidTr="00E46857">
        <w:trPr>
          <w:trHeight w:val="251"/>
        </w:trPr>
        <w:tc>
          <w:tcPr>
            <w:tcW w:w="3045" w:type="dxa"/>
          </w:tcPr>
          <w:p w14:paraId="249DA011" w14:textId="77777777" w:rsidR="000E2E94" w:rsidRPr="00E46857" w:rsidRDefault="000E2E94" w:rsidP="00E46857">
            <w:pPr>
              <w:spacing w:after="0" w:line="240" w:lineRule="auto"/>
              <w:rPr>
                <w:rFonts w:eastAsia="Calibri" w:cs="Arial"/>
                <w:color w:val="auto"/>
                <w:szCs w:val="24"/>
              </w:rPr>
            </w:pPr>
            <w:r w:rsidRPr="00E46857">
              <w:rPr>
                <w:rFonts w:eastAsia="Calibri" w:cs="Arial"/>
                <w:color w:val="auto"/>
                <w:szCs w:val="24"/>
              </w:rPr>
              <w:t>2012/13</w:t>
            </w:r>
          </w:p>
        </w:tc>
        <w:tc>
          <w:tcPr>
            <w:tcW w:w="3046" w:type="dxa"/>
          </w:tcPr>
          <w:p w14:paraId="4E126C9D" w14:textId="77777777" w:rsidR="000E2E94" w:rsidRPr="00E46857" w:rsidRDefault="000E2E94" w:rsidP="00E46857">
            <w:pPr>
              <w:spacing w:after="0" w:line="240" w:lineRule="auto"/>
              <w:jc w:val="right"/>
              <w:rPr>
                <w:rFonts w:eastAsia="Calibri" w:cs="Arial"/>
                <w:color w:val="auto"/>
                <w:szCs w:val="24"/>
              </w:rPr>
            </w:pPr>
            <w:r w:rsidRPr="00E46857">
              <w:rPr>
                <w:rFonts w:cs="Arial"/>
                <w:color w:val="auto"/>
                <w:szCs w:val="24"/>
              </w:rPr>
              <w:t>2,259</w:t>
            </w:r>
          </w:p>
        </w:tc>
      </w:tr>
      <w:tr w:rsidR="00E46857" w:rsidRPr="00E46857" w14:paraId="2CE221E0" w14:textId="77777777" w:rsidTr="00E46857">
        <w:trPr>
          <w:trHeight w:val="251"/>
        </w:trPr>
        <w:tc>
          <w:tcPr>
            <w:tcW w:w="3045" w:type="dxa"/>
          </w:tcPr>
          <w:p w14:paraId="590E8114" w14:textId="77777777" w:rsidR="000E2E94" w:rsidRPr="00E46857" w:rsidRDefault="000E2E94" w:rsidP="00E46857">
            <w:pPr>
              <w:spacing w:after="0" w:line="240" w:lineRule="auto"/>
              <w:rPr>
                <w:rFonts w:eastAsia="Calibri" w:cs="Arial"/>
                <w:color w:val="auto"/>
                <w:szCs w:val="24"/>
              </w:rPr>
            </w:pPr>
            <w:r w:rsidRPr="00E46857">
              <w:rPr>
                <w:rFonts w:eastAsia="Calibri" w:cs="Arial"/>
                <w:color w:val="auto"/>
                <w:szCs w:val="24"/>
              </w:rPr>
              <w:t>2013/14</w:t>
            </w:r>
          </w:p>
        </w:tc>
        <w:tc>
          <w:tcPr>
            <w:tcW w:w="3046" w:type="dxa"/>
          </w:tcPr>
          <w:p w14:paraId="1C7AC4F1" w14:textId="77777777" w:rsidR="000E2E94" w:rsidRPr="00E46857" w:rsidRDefault="000E2E94" w:rsidP="00E46857">
            <w:pPr>
              <w:spacing w:after="0" w:line="240" w:lineRule="auto"/>
              <w:jc w:val="right"/>
              <w:rPr>
                <w:rFonts w:eastAsia="Calibri" w:cs="Arial"/>
                <w:color w:val="auto"/>
                <w:szCs w:val="24"/>
              </w:rPr>
            </w:pPr>
            <w:r w:rsidRPr="00E46857">
              <w:rPr>
                <w:rFonts w:cs="Arial"/>
                <w:color w:val="auto"/>
                <w:szCs w:val="24"/>
              </w:rPr>
              <w:t>1,950</w:t>
            </w:r>
          </w:p>
        </w:tc>
      </w:tr>
      <w:tr w:rsidR="00E46857" w:rsidRPr="00E46857" w14:paraId="390E6AF4" w14:textId="77777777" w:rsidTr="00E46857">
        <w:trPr>
          <w:trHeight w:val="251"/>
        </w:trPr>
        <w:tc>
          <w:tcPr>
            <w:tcW w:w="3045" w:type="dxa"/>
          </w:tcPr>
          <w:p w14:paraId="7A3A5D6C" w14:textId="77777777" w:rsidR="000E2E94" w:rsidRPr="00E46857" w:rsidRDefault="000E2E94" w:rsidP="00E46857">
            <w:pPr>
              <w:spacing w:after="0" w:line="240" w:lineRule="auto"/>
              <w:rPr>
                <w:rFonts w:eastAsia="Calibri" w:cs="Arial"/>
                <w:color w:val="auto"/>
                <w:szCs w:val="24"/>
              </w:rPr>
            </w:pPr>
            <w:r w:rsidRPr="00E46857">
              <w:rPr>
                <w:rFonts w:eastAsia="Calibri" w:cs="Arial"/>
                <w:color w:val="auto"/>
                <w:szCs w:val="24"/>
              </w:rPr>
              <w:t>2014/15</w:t>
            </w:r>
          </w:p>
        </w:tc>
        <w:tc>
          <w:tcPr>
            <w:tcW w:w="3046" w:type="dxa"/>
          </w:tcPr>
          <w:p w14:paraId="2C1EEA47" w14:textId="77777777" w:rsidR="000E2E94" w:rsidRPr="00E46857" w:rsidRDefault="000E2E94" w:rsidP="00E46857">
            <w:pPr>
              <w:spacing w:after="0" w:line="240" w:lineRule="auto"/>
              <w:jc w:val="right"/>
              <w:rPr>
                <w:rFonts w:eastAsia="Calibri" w:cs="Arial"/>
                <w:color w:val="auto"/>
                <w:szCs w:val="24"/>
              </w:rPr>
            </w:pPr>
            <w:r w:rsidRPr="00E46857">
              <w:rPr>
                <w:rFonts w:cs="Arial"/>
                <w:color w:val="auto"/>
                <w:szCs w:val="24"/>
              </w:rPr>
              <w:t>2,052</w:t>
            </w:r>
          </w:p>
        </w:tc>
      </w:tr>
      <w:tr w:rsidR="00E46857" w:rsidRPr="00E46857" w14:paraId="036BD1E1" w14:textId="77777777" w:rsidTr="00E46857">
        <w:trPr>
          <w:trHeight w:val="251"/>
        </w:trPr>
        <w:tc>
          <w:tcPr>
            <w:tcW w:w="3045" w:type="dxa"/>
          </w:tcPr>
          <w:p w14:paraId="7929DF37" w14:textId="77777777" w:rsidR="000E2E94" w:rsidRPr="00E46857" w:rsidRDefault="000E2E94" w:rsidP="00E46857">
            <w:pPr>
              <w:spacing w:after="0" w:line="240" w:lineRule="auto"/>
              <w:rPr>
                <w:rFonts w:eastAsia="Calibri" w:cs="Arial"/>
                <w:color w:val="auto"/>
                <w:szCs w:val="24"/>
              </w:rPr>
            </w:pPr>
            <w:r w:rsidRPr="00E46857">
              <w:rPr>
                <w:rFonts w:eastAsia="Calibri" w:cs="Arial"/>
                <w:color w:val="auto"/>
                <w:szCs w:val="24"/>
              </w:rPr>
              <w:t>2015/16</w:t>
            </w:r>
          </w:p>
        </w:tc>
        <w:tc>
          <w:tcPr>
            <w:tcW w:w="3046" w:type="dxa"/>
          </w:tcPr>
          <w:p w14:paraId="5665333F" w14:textId="77777777" w:rsidR="000E2E94" w:rsidRPr="00E46857" w:rsidRDefault="000E2E94" w:rsidP="00E46857">
            <w:pPr>
              <w:spacing w:after="0" w:line="240" w:lineRule="auto"/>
              <w:jc w:val="right"/>
              <w:rPr>
                <w:rFonts w:eastAsia="Calibri" w:cs="Arial"/>
                <w:color w:val="auto"/>
                <w:szCs w:val="24"/>
              </w:rPr>
            </w:pPr>
            <w:r w:rsidRPr="00E46857">
              <w:rPr>
                <w:rFonts w:cs="Arial"/>
                <w:color w:val="auto"/>
                <w:szCs w:val="24"/>
              </w:rPr>
              <w:t>1,851</w:t>
            </w:r>
          </w:p>
        </w:tc>
      </w:tr>
      <w:tr w:rsidR="00E46857" w:rsidRPr="00E46857" w14:paraId="3E0844A4" w14:textId="77777777" w:rsidTr="00E46857">
        <w:trPr>
          <w:trHeight w:val="251"/>
        </w:trPr>
        <w:tc>
          <w:tcPr>
            <w:tcW w:w="3045" w:type="dxa"/>
          </w:tcPr>
          <w:p w14:paraId="5A5F5DFB" w14:textId="77777777" w:rsidR="000E2E94" w:rsidRPr="00E46857" w:rsidRDefault="000E2E94" w:rsidP="00E46857">
            <w:pPr>
              <w:spacing w:after="0" w:line="240" w:lineRule="auto"/>
              <w:rPr>
                <w:rFonts w:eastAsia="Calibri" w:cs="Arial"/>
                <w:color w:val="auto"/>
                <w:szCs w:val="24"/>
              </w:rPr>
            </w:pPr>
            <w:r w:rsidRPr="00E46857">
              <w:rPr>
                <w:rFonts w:eastAsia="Calibri" w:cs="Arial"/>
                <w:color w:val="auto"/>
                <w:szCs w:val="24"/>
              </w:rPr>
              <w:t>2016/17</w:t>
            </w:r>
          </w:p>
        </w:tc>
        <w:tc>
          <w:tcPr>
            <w:tcW w:w="3046" w:type="dxa"/>
          </w:tcPr>
          <w:p w14:paraId="17A55DB2" w14:textId="77777777" w:rsidR="000E2E94" w:rsidRPr="00E46857" w:rsidRDefault="000E2E94" w:rsidP="00E46857">
            <w:pPr>
              <w:spacing w:after="0" w:line="240" w:lineRule="auto"/>
              <w:jc w:val="right"/>
              <w:rPr>
                <w:rFonts w:eastAsia="Calibri" w:cs="Arial"/>
                <w:color w:val="auto"/>
                <w:szCs w:val="24"/>
              </w:rPr>
            </w:pPr>
            <w:r w:rsidRPr="00E46857">
              <w:rPr>
                <w:rFonts w:cs="Arial"/>
                <w:color w:val="auto"/>
                <w:szCs w:val="24"/>
              </w:rPr>
              <w:t>1,683</w:t>
            </w:r>
          </w:p>
        </w:tc>
      </w:tr>
      <w:tr w:rsidR="00E46857" w:rsidRPr="00E46857" w14:paraId="3F8D23B8" w14:textId="77777777" w:rsidTr="00E46857">
        <w:trPr>
          <w:trHeight w:val="269"/>
        </w:trPr>
        <w:tc>
          <w:tcPr>
            <w:tcW w:w="3045" w:type="dxa"/>
          </w:tcPr>
          <w:p w14:paraId="5E3E0C49" w14:textId="77777777" w:rsidR="000E2E94" w:rsidRPr="00E46857" w:rsidRDefault="000E2E94" w:rsidP="00E46857">
            <w:pPr>
              <w:spacing w:after="0" w:line="240" w:lineRule="auto"/>
              <w:rPr>
                <w:rFonts w:eastAsia="Calibri" w:cs="Arial"/>
                <w:color w:val="auto"/>
                <w:szCs w:val="24"/>
              </w:rPr>
            </w:pPr>
            <w:r w:rsidRPr="00E46857">
              <w:rPr>
                <w:rFonts w:eastAsia="Calibri" w:cs="Arial"/>
                <w:color w:val="auto"/>
                <w:szCs w:val="24"/>
              </w:rPr>
              <w:t>2017/18</w:t>
            </w:r>
          </w:p>
        </w:tc>
        <w:tc>
          <w:tcPr>
            <w:tcW w:w="3046" w:type="dxa"/>
          </w:tcPr>
          <w:p w14:paraId="0D6A3C04" w14:textId="77777777" w:rsidR="000E2E94" w:rsidRPr="00E46857" w:rsidRDefault="000E2E94" w:rsidP="00E46857">
            <w:pPr>
              <w:spacing w:after="0" w:line="240" w:lineRule="auto"/>
              <w:jc w:val="right"/>
              <w:rPr>
                <w:rFonts w:eastAsia="Calibri" w:cs="Arial"/>
                <w:color w:val="auto"/>
                <w:szCs w:val="24"/>
              </w:rPr>
            </w:pPr>
            <w:r w:rsidRPr="00E46857">
              <w:rPr>
                <w:rFonts w:cs="Arial"/>
                <w:color w:val="auto"/>
                <w:szCs w:val="24"/>
              </w:rPr>
              <w:t>1,794</w:t>
            </w:r>
          </w:p>
        </w:tc>
      </w:tr>
      <w:tr w:rsidR="00E46857" w:rsidRPr="00E46857" w14:paraId="5E7FC572" w14:textId="77777777" w:rsidTr="00E46857">
        <w:trPr>
          <w:trHeight w:val="251"/>
        </w:trPr>
        <w:tc>
          <w:tcPr>
            <w:tcW w:w="3045" w:type="dxa"/>
          </w:tcPr>
          <w:p w14:paraId="24A02183" w14:textId="77777777" w:rsidR="000E2E94" w:rsidRPr="00E46857" w:rsidRDefault="000E2E94" w:rsidP="00E46857">
            <w:pPr>
              <w:spacing w:after="0" w:line="240" w:lineRule="auto"/>
              <w:rPr>
                <w:rFonts w:eastAsia="Calibri" w:cs="Arial"/>
                <w:color w:val="auto"/>
                <w:szCs w:val="24"/>
              </w:rPr>
            </w:pPr>
            <w:r w:rsidRPr="00E46857">
              <w:rPr>
                <w:rFonts w:eastAsia="Calibri" w:cs="Arial"/>
                <w:color w:val="auto"/>
                <w:szCs w:val="24"/>
              </w:rPr>
              <w:t>2018/19</w:t>
            </w:r>
          </w:p>
        </w:tc>
        <w:tc>
          <w:tcPr>
            <w:tcW w:w="3046" w:type="dxa"/>
          </w:tcPr>
          <w:p w14:paraId="2E3265FF" w14:textId="77777777" w:rsidR="000E2E94" w:rsidRPr="00E46857" w:rsidRDefault="000E2E94" w:rsidP="00E46857">
            <w:pPr>
              <w:spacing w:after="0" w:line="240" w:lineRule="auto"/>
              <w:jc w:val="right"/>
              <w:rPr>
                <w:rFonts w:eastAsia="Calibri" w:cs="Arial"/>
                <w:color w:val="auto"/>
                <w:szCs w:val="24"/>
              </w:rPr>
            </w:pPr>
            <w:r w:rsidRPr="00E46857">
              <w:rPr>
                <w:rFonts w:cs="Arial"/>
                <w:color w:val="auto"/>
                <w:szCs w:val="24"/>
              </w:rPr>
              <w:t>1,605</w:t>
            </w:r>
          </w:p>
        </w:tc>
      </w:tr>
      <w:tr w:rsidR="00E46857" w:rsidRPr="00E46857" w14:paraId="5C2DEDBA" w14:textId="77777777" w:rsidTr="00E46857">
        <w:trPr>
          <w:trHeight w:val="251"/>
        </w:trPr>
        <w:tc>
          <w:tcPr>
            <w:tcW w:w="3045" w:type="dxa"/>
          </w:tcPr>
          <w:p w14:paraId="66C69023" w14:textId="77777777" w:rsidR="000E2E94" w:rsidRPr="00E46857" w:rsidRDefault="000E2E94" w:rsidP="00E46857">
            <w:pPr>
              <w:spacing w:after="0" w:line="240" w:lineRule="auto"/>
              <w:rPr>
                <w:rFonts w:eastAsia="Calibri" w:cs="Arial"/>
                <w:color w:val="auto"/>
                <w:szCs w:val="24"/>
              </w:rPr>
            </w:pPr>
            <w:r w:rsidRPr="00E46857">
              <w:rPr>
                <w:rFonts w:eastAsia="Calibri" w:cs="Arial"/>
                <w:color w:val="auto"/>
                <w:szCs w:val="24"/>
              </w:rPr>
              <w:t>2019/20</w:t>
            </w:r>
          </w:p>
        </w:tc>
        <w:tc>
          <w:tcPr>
            <w:tcW w:w="3046" w:type="dxa"/>
          </w:tcPr>
          <w:p w14:paraId="6A9473DE" w14:textId="77777777" w:rsidR="000E2E94" w:rsidRPr="00E46857" w:rsidRDefault="000E2E94" w:rsidP="00E46857">
            <w:pPr>
              <w:spacing w:after="0" w:line="240" w:lineRule="auto"/>
              <w:jc w:val="right"/>
              <w:rPr>
                <w:rFonts w:eastAsia="Calibri" w:cs="Arial"/>
                <w:color w:val="auto"/>
                <w:szCs w:val="24"/>
              </w:rPr>
            </w:pPr>
            <w:r w:rsidRPr="00E46857">
              <w:rPr>
                <w:rFonts w:cs="Arial"/>
                <w:color w:val="auto"/>
                <w:szCs w:val="24"/>
              </w:rPr>
              <w:t>1,536</w:t>
            </w:r>
          </w:p>
        </w:tc>
      </w:tr>
      <w:tr w:rsidR="00E46857" w:rsidRPr="00E46857" w14:paraId="6B2DD558" w14:textId="77777777" w:rsidTr="00E46857">
        <w:trPr>
          <w:trHeight w:val="251"/>
        </w:trPr>
        <w:tc>
          <w:tcPr>
            <w:tcW w:w="3045" w:type="dxa"/>
          </w:tcPr>
          <w:p w14:paraId="6905EFDB" w14:textId="77777777" w:rsidR="000E2E94" w:rsidRPr="00E46857" w:rsidRDefault="000E2E94" w:rsidP="00E46857">
            <w:pPr>
              <w:spacing w:after="0" w:line="240" w:lineRule="auto"/>
              <w:rPr>
                <w:rFonts w:eastAsia="Calibri" w:cs="Arial"/>
                <w:color w:val="auto"/>
                <w:szCs w:val="24"/>
              </w:rPr>
            </w:pPr>
            <w:r w:rsidRPr="00E46857">
              <w:rPr>
                <w:rFonts w:eastAsia="Calibri" w:cs="Arial"/>
                <w:color w:val="auto"/>
                <w:szCs w:val="24"/>
              </w:rPr>
              <w:t>2020/21</w:t>
            </w:r>
          </w:p>
        </w:tc>
        <w:tc>
          <w:tcPr>
            <w:tcW w:w="3046" w:type="dxa"/>
          </w:tcPr>
          <w:p w14:paraId="23CF84FE" w14:textId="77777777" w:rsidR="000E2E94" w:rsidRPr="00E46857" w:rsidRDefault="000E2E94" w:rsidP="00E46857">
            <w:pPr>
              <w:spacing w:after="0" w:line="240" w:lineRule="auto"/>
              <w:jc w:val="right"/>
              <w:rPr>
                <w:rFonts w:eastAsia="Calibri" w:cs="Arial"/>
                <w:color w:val="auto"/>
                <w:szCs w:val="24"/>
              </w:rPr>
            </w:pPr>
            <w:r w:rsidRPr="00E46857">
              <w:rPr>
                <w:rFonts w:cs="Arial"/>
                <w:color w:val="auto"/>
                <w:szCs w:val="24"/>
              </w:rPr>
              <w:t>1,329</w:t>
            </w:r>
          </w:p>
        </w:tc>
      </w:tr>
      <w:tr w:rsidR="00E46857" w:rsidRPr="00E46857" w14:paraId="2FA27251" w14:textId="77777777" w:rsidTr="00E46857">
        <w:trPr>
          <w:trHeight w:val="251"/>
        </w:trPr>
        <w:tc>
          <w:tcPr>
            <w:tcW w:w="3045" w:type="dxa"/>
          </w:tcPr>
          <w:p w14:paraId="585E7F56" w14:textId="45B47E6A" w:rsidR="000E2E94" w:rsidRPr="00E46857" w:rsidRDefault="000E2E94" w:rsidP="00E46857">
            <w:pPr>
              <w:spacing w:after="0" w:line="240" w:lineRule="auto"/>
              <w:rPr>
                <w:rFonts w:eastAsia="Calibri" w:cs="Arial"/>
                <w:color w:val="auto"/>
                <w:szCs w:val="24"/>
              </w:rPr>
            </w:pPr>
            <w:r w:rsidRPr="00E46857">
              <w:rPr>
                <w:rFonts w:eastAsia="Calibri" w:cs="Arial"/>
                <w:color w:val="auto"/>
                <w:szCs w:val="24"/>
              </w:rPr>
              <w:t>2021/22</w:t>
            </w:r>
            <w:r w:rsidR="009F2A65">
              <w:rPr>
                <w:rFonts w:eastAsia="Calibri" w:cs="Arial"/>
                <w:color w:val="auto"/>
                <w:szCs w:val="24"/>
              </w:rPr>
              <w:t xml:space="preserve"> </w:t>
            </w:r>
            <w:r w:rsidR="009F2A65" w:rsidRPr="004F494E">
              <w:rPr>
                <w:rFonts w:cs="Arial"/>
                <w:szCs w:val="24"/>
              </w:rPr>
              <w:t>as at 31/3/22</w:t>
            </w:r>
          </w:p>
        </w:tc>
        <w:tc>
          <w:tcPr>
            <w:tcW w:w="3046" w:type="dxa"/>
          </w:tcPr>
          <w:p w14:paraId="3C47F583" w14:textId="5F8B194B" w:rsidR="000E2E94" w:rsidRPr="00E46857" w:rsidRDefault="000E2E94" w:rsidP="00E46857">
            <w:pPr>
              <w:spacing w:after="0" w:line="240" w:lineRule="auto"/>
              <w:jc w:val="right"/>
              <w:rPr>
                <w:rFonts w:eastAsia="Calibri" w:cs="Arial"/>
                <w:color w:val="auto"/>
                <w:szCs w:val="24"/>
              </w:rPr>
            </w:pPr>
            <w:r w:rsidRPr="00E46857">
              <w:rPr>
                <w:rFonts w:cs="Arial"/>
                <w:color w:val="auto"/>
                <w:szCs w:val="24"/>
              </w:rPr>
              <w:t>1,272</w:t>
            </w:r>
          </w:p>
        </w:tc>
      </w:tr>
    </w:tbl>
    <w:p w14:paraId="1775D0A6" w14:textId="77777777" w:rsidR="000C21E6" w:rsidRDefault="000C21E6">
      <w:pPr>
        <w:spacing w:after="160" w:line="259" w:lineRule="auto"/>
        <w:rPr>
          <w:rFonts w:eastAsiaTheme="majorEastAsia" w:cstheme="majorBidi"/>
          <w:color w:val="1F3864" w:themeColor="accent5" w:themeShade="80"/>
          <w:sz w:val="44"/>
          <w:szCs w:val="26"/>
        </w:rPr>
      </w:pPr>
      <w:r>
        <w:br w:type="page"/>
      </w:r>
    </w:p>
    <w:p w14:paraId="3A0A7E98" w14:textId="77777777" w:rsidR="00005FA9" w:rsidRDefault="00005FA9" w:rsidP="00005FA9">
      <w:pPr>
        <w:pStyle w:val="Heading3"/>
      </w:pPr>
      <w:bookmarkStart w:id="305" w:name="_Toc133076288"/>
      <w:r>
        <w:lastRenderedPageBreak/>
        <w:t>Parliamentary Written Question 17448 (2022)</w:t>
      </w:r>
      <w:bookmarkEnd w:id="305"/>
    </w:p>
    <w:p w14:paraId="3FA76170" w14:textId="77777777" w:rsidR="00005FA9" w:rsidRDefault="00005FA9" w:rsidP="00005FA9">
      <w:r>
        <w:t>Jan Logie to the Minister for Disability Issues (01 Jun 2022): What has been the annual spend, each year for the last ten years, for Training Support funding? Hon Carmel Sepuloni (Minister for Disability Issues) replied.</w:t>
      </w:r>
      <w:r>
        <w:rPr>
          <w:rStyle w:val="EndnoteReference"/>
          <w:bCs/>
        </w:rPr>
        <w:endnoteReference w:id="50"/>
      </w:r>
    </w:p>
    <w:p w14:paraId="1351E5D3" w14:textId="77777777" w:rsidR="00005FA9" w:rsidRPr="00645109" w:rsidRDefault="00005FA9" w:rsidP="00005FA9">
      <w:pPr>
        <w:pStyle w:val="Caption"/>
      </w:pPr>
      <w:r>
        <w:t>Table 2: (17448) The annual spend on Training Support funding each year for the last ten years</w:t>
      </w:r>
      <w:r>
        <w:rPr>
          <w:b w:val="0"/>
          <w:bCs/>
        </w:rPr>
        <w:t>.</w:t>
      </w:r>
    </w:p>
    <w:tbl>
      <w:tblPr>
        <w:tblStyle w:val="TableGrid"/>
        <w:tblW w:w="0" w:type="auto"/>
        <w:tblLayout w:type="fixed"/>
        <w:tblLook w:val="06A0" w:firstRow="1" w:lastRow="0" w:firstColumn="1" w:lastColumn="0" w:noHBand="1" w:noVBand="1"/>
      </w:tblPr>
      <w:tblGrid>
        <w:gridCol w:w="3045"/>
        <w:gridCol w:w="3046"/>
      </w:tblGrid>
      <w:tr w:rsidR="00005FA9" w:rsidRPr="004F494E" w14:paraId="52B76245" w14:textId="77777777" w:rsidTr="005C6C1E">
        <w:trPr>
          <w:trHeight w:val="251"/>
        </w:trPr>
        <w:tc>
          <w:tcPr>
            <w:tcW w:w="3045" w:type="dxa"/>
            <w:shd w:val="clear" w:color="auto" w:fill="auto"/>
          </w:tcPr>
          <w:p w14:paraId="47EA84DA" w14:textId="77777777" w:rsidR="00005FA9" w:rsidRPr="00F86F36" w:rsidRDefault="00005FA9" w:rsidP="005C6C1E">
            <w:pPr>
              <w:spacing w:after="0" w:line="240" w:lineRule="auto"/>
              <w:rPr>
                <w:rFonts w:eastAsia="Calibri" w:cs="Arial"/>
                <w:b/>
                <w:bCs/>
                <w:szCs w:val="24"/>
              </w:rPr>
            </w:pPr>
            <w:r w:rsidRPr="00F86F36">
              <w:rPr>
                <w:rFonts w:eastAsia="Calibri" w:cs="Arial"/>
                <w:b/>
                <w:bCs/>
                <w:szCs w:val="24"/>
              </w:rPr>
              <w:t>Financial year</w:t>
            </w:r>
          </w:p>
        </w:tc>
        <w:tc>
          <w:tcPr>
            <w:tcW w:w="3046" w:type="dxa"/>
            <w:shd w:val="clear" w:color="auto" w:fill="auto"/>
          </w:tcPr>
          <w:p w14:paraId="0AF777B0" w14:textId="77777777" w:rsidR="00005FA9" w:rsidRPr="00F86F36" w:rsidRDefault="00005FA9" w:rsidP="005C6C1E">
            <w:pPr>
              <w:spacing w:after="0" w:line="240" w:lineRule="auto"/>
              <w:rPr>
                <w:rFonts w:cs="Arial"/>
                <w:b/>
                <w:bCs/>
                <w:szCs w:val="24"/>
              </w:rPr>
            </w:pPr>
            <w:r w:rsidRPr="00F86F36">
              <w:rPr>
                <w:rFonts w:eastAsia="Calibri" w:cs="Arial"/>
                <w:b/>
                <w:bCs/>
                <w:szCs w:val="24"/>
              </w:rPr>
              <w:t>Totals</w:t>
            </w:r>
          </w:p>
        </w:tc>
      </w:tr>
      <w:tr w:rsidR="00005FA9" w:rsidRPr="004F494E" w14:paraId="2C619968" w14:textId="77777777" w:rsidTr="005C6C1E">
        <w:trPr>
          <w:trHeight w:val="251"/>
        </w:trPr>
        <w:tc>
          <w:tcPr>
            <w:tcW w:w="3045" w:type="dxa"/>
          </w:tcPr>
          <w:p w14:paraId="6041C7E8" w14:textId="77777777" w:rsidR="00005FA9" w:rsidRPr="004F494E" w:rsidRDefault="00005FA9" w:rsidP="005C6C1E">
            <w:pPr>
              <w:spacing w:after="0" w:line="240" w:lineRule="auto"/>
              <w:rPr>
                <w:rFonts w:eastAsia="Calibri" w:cs="Arial"/>
                <w:szCs w:val="24"/>
              </w:rPr>
            </w:pPr>
            <w:r w:rsidRPr="004F494E">
              <w:rPr>
                <w:rFonts w:eastAsia="Calibri" w:cs="Arial"/>
                <w:szCs w:val="24"/>
              </w:rPr>
              <w:t>2012/13</w:t>
            </w:r>
          </w:p>
        </w:tc>
        <w:tc>
          <w:tcPr>
            <w:tcW w:w="3046" w:type="dxa"/>
          </w:tcPr>
          <w:p w14:paraId="569EFD20" w14:textId="77777777" w:rsidR="00005FA9" w:rsidRPr="004F494E" w:rsidRDefault="00005FA9" w:rsidP="005C6C1E">
            <w:pPr>
              <w:spacing w:after="0" w:line="240" w:lineRule="auto"/>
              <w:jc w:val="right"/>
              <w:rPr>
                <w:rFonts w:eastAsia="Calibri" w:cs="Arial"/>
                <w:szCs w:val="24"/>
              </w:rPr>
            </w:pPr>
            <w:r w:rsidRPr="004F494E">
              <w:rPr>
                <w:rFonts w:cs="Arial"/>
                <w:szCs w:val="24"/>
              </w:rPr>
              <w:t>$648,623</w:t>
            </w:r>
          </w:p>
        </w:tc>
      </w:tr>
      <w:tr w:rsidR="00005FA9" w:rsidRPr="004F494E" w14:paraId="4CFCB987" w14:textId="77777777" w:rsidTr="005C6C1E">
        <w:trPr>
          <w:trHeight w:val="251"/>
        </w:trPr>
        <w:tc>
          <w:tcPr>
            <w:tcW w:w="3045" w:type="dxa"/>
          </w:tcPr>
          <w:p w14:paraId="3746EA06" w14:textId="77777777" w:rsidR="00005FA9" w:rsidRPr="004F494E" w:rsidRDefault="00005FA9" w:rsidP="005C6C1E">
            <w:pPr>
              <w:spacing w:after="0" w:line="240" w:lineRule="auto"/>
              <w:rPr>
                <w:rFonts w:eastAsia="Calibri" w:cs="Arial"/>
                <w:szCs w:val="24"/>
              </w:rPr>
            </w:pPr>
            <w:r w:rsidRPr="004F494E">
              <w:rPr>
                <w:rFonts w:eastAsia="Calibri" w:cs="Arial"/>
                <w:szCs w:val="24"/>
              </w:rPr>
              <w:t>2013/14</w:t>
            </w:r>
          </w:p>
        </w:tc>
        <w:tc>
          <w:tcPr>
            <w:tcW w:w="3046" w:type="dxa"/>
          </w:tcPr>
          <w:p w14:paraId="368CA758" w14:textId="77777777" w:rsidR="00005FA9" w:rsidRPr="004F494E" w:rsidRDefault="00005FA9" w:rsidP="005C6C1E">
            <w:pPr>
              <w:spacing w:after="0" w:line="240" w:lineRule="auto"/>
              <w:jc w:val="right"/>
              <w:rPr>
                <w:rFonts w:eastAsia="Calibri" w:cs="Arial"/>
                <w:szCs w:val="24"/>
              </w:rPr>
            </w:pPr>
            <w:r w:rsidRPr="004F494E">
              <w:rPr>
                <w:rFonts w:cs="Arial"/>
                <w:szCs w:val="24"/>
              </w:rPr>
              <w:t>$625,166</w:t>
            </w:r>
          </w:p>
        </w:tc>
      </w:tr>
      <w:tr w:rsidR="00005FA9" w:rsidRPr="004F494E" w14:paraId="4EC3386B" w14:textId="77777777" w:rsidTr="005C6C1E">
        <w:trPr>
          <w:trHeight w:val="251"/>
        </w:trPr>
        <w:tc>
          <w:tcPr>
            <w:tcW w:w="3045" w:type="dxa"/>
          </w:tcPr>
          <w:p w14:paraId="166652BA" w14:textId="77777777" w:rsidR="00005FA9" w:rsidRPr="004F494E" w:rsidRDefault="00005FA9" w:rsidP="005C6C1E">
            <w:pPr>
              <w:spacing w:after="0" w:line="240" w:lineRule="auto"/>
              <w:rPr>
                <w:rFonts w:eastAsia="Calibri" w:cs="Arial"/>
                <w:szCs w:val="24"/>
              </w:rPr>
            </w:pPr>
            <w:r w:rsidRPr="004F494E">
              <w:rPr>
                <w:rFonts w:eastAsia="Calibri" w:cs="Arial"/>
                <w:szCs w:val="24"/>
              </w:rPr>
              <w:t>2014/15</w:t>
            </w:r>
          </w:p>
        </w:tc>
        <w:tc>
          <w:tcPr>
            <w:tcW w:w="3046" w:type="dxa"/>
          </w:tcPr>
          <w:p w14:paraId="6E806583" w14:textId="77777777" w:rsidR="00005FA9" w:rsidRPr="004F494E" w:rsidRDefault="00005FA9" w:rsidP="005C6C1E">
            <w:pPr>
              <w:spacing w:after="0" w:line="240" w:lineRule="auto"/>
              <w:jc w:val="right"/>
              <w:rPr>
                <w:rFonts w:eastAsia="Calibri" w:cs="Arial"/>
                <w:szCs w:val="24"/>
              </w:rPr>
            </w:pPr>
            <w:r w:rsidRPr="004F494E">
              <w:rPr>
                <w:rFonts w:cs="Arial"/>
                <w:szCs w:val="24"/>
              </w:rPr>
              <w:t>$621,514</w:t>
            </w:r>
          </w:p>
        </w:tc>
      </w:tr>
      <w:tr w:rsidR="00005FA9" w:rsidRPr="004F494E" w14:paraId="1F559416" w14:textId="77777777" w:rsidTr="005C6C1E">
        <w:trPr>
          <w:trHeight w:val="251"/>
        </w:trPr>
        <w:tc>
          <w:tcPr>
            <w:tcW w:w="3045" w:type="dxa"/>
          </w:tcPr>
          <w:p w14:paraId="32583504" w14:textId="77777777" w:rsidR="00005FA9" w:rsidRPr="004F494E" w:rsidRDefault="00005FA9" w:rsidP="005C6C1E">
            <w:pPr>
              <w:spacing w:after="0" w:line="240" w:lineRule="auto"/>
              <w:rPr>
                <w:rFonts w:eastAsia="Calibri" w:cs="Arial"/>
                <w:szCs w:val="24"/>
              </w:rPr>
            </w:pPr>
            <w:r w:rsidRPr="004F494E">
              <w:rPr>
                <w:rFonts w:eastAsia="Calibri" w:cs="Arial"/>
                <w:szCs w:val="24"/>
              </w:rPr>
              <w:t>2015/16</w:t>
            </w:r>
          </w:p>
        </w:tc>
        <w:tc>
          <w:tcPr>
            <w:tcW w:w="3046" w:type="dxa"/>
          </w:tcPr>
          <w:p w14:paraId="7CF6B39D" w14:textId="77777777" w:rsidR="00005FA9" w:rsidRPr="004F494E" w:rsidRDefault="00005FA9" w:rsidP="005C6C1E">
            <w:pPr>
              <w:spacing w:after="0" w:line="240" w:lineRule="auto"/>
              <w:jc w:val="right"/>
              <w:rPr>
                <w:rFonts w:eastAsia="Calibri" w:cs="Arial"/>
                <w:szCs w:val="24"/>
              </w:rPr>
            </w:pPr>
            <w:r w:rsidRPr="004F494E">
              <w:rPr>
                <w:rFonts w:cs="Arial"/>
                <w:szCs w:val="24"/>
              </w:rPr>
              <w:t>$627,890</w:t>
            </w:r>
          </w:p>
        </w:tc>
      </w:tr>
      <w:tr w:rsidR="00005FA9" w:rsidRPr="004F494E" w14:paraId="51C6847F" w14:textId="77777777" w:rsidTr="005C6C1E">
        <w:trPr>
          <w:trHeight w:val="251"/>
        </w:trPr>
        <w:tc>
          <w:tcPr>
            <w:tcW w:w="3045" w:type="dxa"/>
          </w:tcPr>
          <w:p w14:paraId="311EC1D2" w14:textId="77777777" w:rsidR="00005FA9" w:rsidRPr="004F494E" w:rsidRDefault="00005FA9" w:rsidP="005C6C1E">
            <w:pPr>
              <w:spacing w:after="0" w:line="240" w:lineRule="auto"/>
              <w:rPr>
                <w:rFonts w:eastAsia="Calibri" w:cs="Arial"/>
                <w:szCs w:val="24"/>
              </w:rPr>
            </w:pPr>
            <w:r w:rsidRPr="004F494E">
              <w:rPr>
                <w:rFonts w:eastAsia="Calibri" w:cs="Arial"/>
                <w:szCs w:val="24"/>
              </w:rPr>
              <w:t>2016/17</w:t>
            </w:r>
          </w:p>
        </w:tc>
        <w:tc>
          <w:tcPr>
            <w:tcW w:w="3046" w:type="dxa"/>
          </w:tcPr>
          <w:p w14:paraId="03FE671D" w14:textId="77777777" w:rsidR="00005FA9" w:rsidRPr="004F494E" w:rsidRDefault="00005FA9" w:rsidP="005C6C1E">
            <w:pPr>
              <w:spacing w:after="0" w:line="240" w:lineRule="auto"/>
              <w:jc w:val="right"/>
              <w:rPr>
                <w:rFonts w:eastAsia="Calibri" w:cs="Arial"/>
                <w:szCs w:val="24"/>
              </w:rPr>
            </w:pPr>
            <w:r w:rsidRPr="004F494E">
              <w:rPr>
                <w:rFonts w:cs="Arial"/>
                <w:szCs w:val="24"/>
              </w:rPr>
              <w:t>$579,277</w:t>
            </w:r>
          </w:p>
        </w:tc>
      </w:tr>
      <w:tr w:rsidR="00005FA9" w:rsidRPr="004F494E" w14:paraId="09294B29" w14:textId="77777777" w:rsidTr="005C6C1E">
        <w:trPr>
          <w:trHeight w:val="269"/>
        </w:trPr>
        <w:tc>
          <w:tcPr>
            <w:tcW w:w="3045" w:type="dxa"/>
          </w:tcPr>
          <w:p w14:paraId="47D5E87C" w14:textId="77777777" w:rsidR="00005FA9" w:rsidRPr="004F494E" w:rsidRDefault="00005FA9" w:rsidP="005C6C1E">
            <w:pPr>
              <w:spacing w:after="0" w:line="240" w:lineRule="auto"/>
              <w:rPr>
                <w:rFonts w:eastAsia="Calibri" w:cs="Arial"/>
                <w:szCs w:val="24"/>
              </w:rPr>
            </w:pPr>
            <w:r w:rsidRPr="004F494E">
              <w:rPr>
                <w:rFonts w:eastAsia="Calibri" w:cs="Arial"/>
                <w:szCs w:val="24"/>
              </w:rPr>
              <w:t>2017/18</w:t>
            </w:r>
          </w:p>
        </w:tc>
        <w:tc>
          <w:tcPr>
            <w:tcW w:w="3046" w:type="dxa"/>
          </w:tcPr>
          <w:p w14:paraId="7444A98C" w14:textId="77777777" w:rsidR="00005FA9" w:rsidRPr="004F494E" w:rsidRDefault="00005FA9" w:rsidP="005C6C1E">
            <w:pPr>
              <w:spacing w:after="0" w:line="240" w:lineRule="auto"/>
              <w:jc w:val="right"/>
              <w:rPr>
                <w:rFonts w:eastAsia="Calibri" w:cs="Arial"/>
                <w:szCs w:val="24"/>
              </w:rPr>
            </w:pPr>
            <w:r w:rsidRPr="004F494E">
              <w:rPr>
                <w:rFonts w:cs="Arial"/>
                <w:szCs w:val="24"/>
              </w:rPr>
              <w:t>$669,880</w:t>
            </w:r>
          </w:p>
        </w:tc>
      </w:tr>
      <w:tr w:rsidR="00005FA9" w:rsidRPr="004F494E" w14:paraId="2C0D3358" w14:textId="77777777" w:rsidTr="005C6C1E">
        <w:trPr>
          <w:trHeight w:val="251"/>
        </w:trPr>
        <w:tc>
          <w:tcPr>
            <w:tcW w:w="3045" w:type="dxa"/>
          </w:tcPr>
          <w:p w14:paraId="10351B92" w14:textId="77777777" w:rsidR="00005FA9" w:rsidRPr="004F494E" w:rsidRDefault="00005FA9" w:rsidP="005C6C1E">
            <w:pPr>
              <w:spacing w:after="0" w:line="240" w:lineRule="auto"/>
              <w:rPr>
                <w:rFonts w:eastAsia="Calibri" w:cs="Arial"/>
                <w:szCs w:val="24"/>
              </w:rPr>
            </w:pPr>
            <w:r w:rsidRPr="004F494E">
              <w:rPr>
                <w:rFonts w:eastAsia="Calibri" w:cs="Arial"/>
                <w:szCs w:val="24"/>
              </w:rPr>
              <w:t>2018/19</w:t>
            </w:r>
          </w:p>
        </w:tc>
        <w:tc>
          <w:tcPr>
            <w:tcW w:w="3046" w:type="dxa"/>
          </w:tcPr>
          <w:p w14:paraId="606F61F1" w14:textId="77777777" w:rsidR="00005FA9" w:rsidRPr="004F494E" w:rsidRDefault="00005FA9" w:rsidP="005C6C1E">
            <w:pPr>
              <w:spacing w:after="0" w:line="240" w:lineRule="auto"/>
              <w:jc w:val="right"/>
              <w:rPr>
                <w:rFonts w:eastAsia="Calibri" w:cs="Arial"/>
                <w:szCs w:val="24"/>
              </w:rPr>
            </w:pPr>
            <w:r w:rsidRPr="004F494E">
              <w:rPr>
                <w:rFonts w:cs="Arial"/>
                <w:szCs w:val="24"/>
              </w:rPr>
              <w:t>$462,101</w:t>
            </w:r>
          </w:p>
        </w:tc>
      </w:tr>
      <w:tr w:rsidR="00005FA9" w:rsidRPr="004F494E" w14:paraId="339CFEB7" w14:textId="77777777" w:rsidTr="005C6C1E">
        <w:trPr>
          <w:trHeight w:val="251"/>
        </w:trPr>
        <w:tc>
          <w:tcPr>
            <w:tcW w:w="3045" w:type="dxa"/>
          </w:tcPr>
          <w:p w14:paraId="117773D0" w14:textId="77777777" w:rsidR="00005FA9" w:rsidRPr="004F494E" w:rsidRDefault="00005FA9" w:rsidP="005C6C1E">
            <w:pPr>
              <w:spacing w:after="0" w:line="240" w:lineRule="auto"/>
              <w:rPr>
                <w:rFonts w:eastAsia="Calibri" w:cs="Arial"/>
                <w:szCs w:val="24"/>
              </w:rPr>
            </w:pPr>
            <w:r w:rsidRPr="004F494E">
              <w:rPr>
                <w:rFonts w:eastAsia="Calibri" w:cs="Arial"/>
                <w:szCs w:val="24"/>
              </w:rPr>
              <w:t>2019/20</w:t>
            </w:r>
          </w:p>
        </w:tc>
        <w:tc>
          <w:tcPr>
            <w:tcW w:w="3046" w:type="dxa"/>
          </w:tcPr>
          <w:p w14:paraId="2EA2B8EC" w14:textId="77777777" w:rsidR="00005FA9" w:rsidRPr="004F494E" w:rsidRDefault="00005FA9" w:rsidP="005C6C1E">
            <w:pPr>
              <w:spacing w:after="0" w:line="240" w:lineRule="auto"/>
              <w:jc w:val="right"/>
              <w:rPr>
                <w:rFonts w:eastAsia="Calibri" w:cs="Arial"/>
                <w:szCs w:val="24"/>
              </w:rPr>
            </w:pPr>
            <w:r w:rsidRPr="004F494E">
              <w:rPr>
                <w:rFonts w:cs="Arial"/>
                <w:szCs w:val="24"/>
              </w:rPr>
              <w:t>$182,940</w:t>
            </w:r>
          </w:p>
        </w:tc>
      </w:tr>
      <w:tr w:rsidR="00005FA9" w:rsidRPr="004F494E" w14:paraId="607FE3D9" w14:textId="77777777" w:rsidTr="005C6C1E">
        <w:trPr>
          <w:trHeight w:val="251"/>
        </w:trPr>
        <w:tc>
          <w:tcPr>
            <w:tcW w:w="3045" w:type="dxa"/>
          </w:tcPr>
          <w:p w14:paraId="28E4892D" w14:textId="77777777" w:rsidR="00005FA9" w:rsidRPr="004F494E" w:rsidRDefault="00005FA9" w:rsidP="005C6C1E">
            <w:pPr>
              <w:spacing w:after="0" w:line="240" w:lineRule="auto"/>
              <w:rPr>
                <w:rFonts w:eastAsia="Calibri" w:cs="Arial"/>
                <w:szCs w:val="24"/>
              </w:rPr>
            </w:pPr>
            <w:r w:rsidRPr="004F494E">
              <w:rPr>
                <w:rFonts w:eastAsia="Calibri" w:cs="Arial"/>
                <w:szCs w:val="24"/>
              </w:rPr>
              <w:t>2020/21</w:t>
            </w:r>
          </w:p>
        </w:tc>
        <w:tc>
          <w:tcPr>
            <w:tcW w:w="3046" w:type="dxa"/>
          </w:tcPr>
          <w:p w14:paraId="626F3CE4" w14:textId="77777777" w:rsidR="00005FA9" w:rsidRPr="004F494E" w:rsidRDefault="00005FA9" w:rsidP="005C6C1E">
            <w:pPr>
              <w:spacing w:after="0" w:line="240" w:lineRule="auto"/>
              <w:jc w:val="right"/>
              <w:rPr>
                <w:rFonts w:eastAsia="Calibri" w:cs="Arial"/>
                <w:szCs w:val="24"/>
              </w:rPr>
            </w:pPr>
            <w:r w:rsidRPr="004F494E">
              <w:rPr>
                <w:rFonts w:cs="Arial"/>
                <w:szCs w:val="24"/>
              </w:rPr>
              <w:t>$112,156</w:t>
            </w:r>
          </w:p>
        </w:tc>
      </w:tr>
      <w:tr w:rsidR="00005FA9" w:rsidRPr="004F494E" w14:paraId="60F31AD9" w14:textId="77777777" w:rsidTr="005C6C1E">
        <w:trPr>
          <w:trHeight w:val="251"/>
        </w:trPr>
        <w:tc>
          <w:tcPr>
            <w:tcW w:w="3045" w:type="dxa"/>
          </w:tcPr>
          <w:p w14:paraId="2554E0B0" w14:textId="77777777" w:rsidR="00005FA9" w:rsidRPr="004F494E" w:rsidRDefault="00005FA9" w:rsidP="005C6C1E">
            <w:pPr>
              <w:spacing w:after="0" w:line="240" w:lineRule="auto"/>
              <w:rPr>
                <w:rFonts w:eastAsia="Calibri" w:cs="Arial"/>
                <w:szCs w:val="24"/>
              </w:rPr>
            </w:pPr>
            <w:r w:rsidRPr="004F494E">
              <w:rPr>
                <w:rFonts w:eastAsia="Calibri" w:cs="Arial"/>
                <w:szCs w:val="24"/>
              </w:rPr>
              <w:t>2021/22</w:t>
            </w:r>
            <w:r>
              <w:rPr>
                <w:rFonts w:eastAsia="Calibri" w:cs="Arial"/>
                <w:szCs w:val="24"/>
              </w:rPr>
              <w:t xml:space="preserve"> </w:t>
            </w:r>
            <w:r>
              <w:t>as at 31/3/22</w:t>
            </w:r>
          </w:p>
        </w:tc>
        <w:tc>
          <w:tcPr>
            <w:tcW w:w="3046" w:type="dxa"/>
          </w:tcPr>
          <w:p w14:paraId="443C8625" w14:textId="77777777" w:rsidR="00005FA9" w:rsidRPr="004F494E" w:rsidRDefault="00005FA9" w:rsidP="005C6C1E">
            <w:pPr>
              <w:spacing w:after="0" w:line="240" w:lineRule="auto"/>
              <w:jc w:val="right"/>
              <w:rPr>
                <w:rFonts w:eastAsia="Calibri" w:cs="Arial"/>
                <w:szCs w:val="24"/>
              </w:rPr>
            </w:pPr>
            <w:r w:rsidRPr="004F494E">
              <w:rPr>
                <w:rFonts w:cs="Arial"/>
                <w:szCs w:val="24"/>
              </w:rPr>
              <w:t>$36,763</w:t>
            </w:r>
          </w:p>
        </w:tc>
      </w:tr>
    </w:tbl>
    <w:p w14:paraId="5408A02C" w14:textId="77777777" w:rsidR="00005FA9" w:rsidRDefault="00005FA9" w:rsidP="00005FA9">
      <w:pPr>
        <w:pStyle w:val="Heading3"/>
      </w:pPr>
      <w:bookmarkStart w:id="306" w:name="_Toc133076289"/>
      <w:r>
        <w:t>Parliamentary Written Question 17449 (2022)</w:t>
      </w:r>
      <w:bookmarkEnd w:id="306"/>
    </w:p>
    <w:p w14:paraId="69F5A18E" w14:textId="77777777" w:rsidR="00005FA9" w:rsidRDefault="00005FA9" w:rsidP="00005FA9">
      <w:r>
        <w:t>Jan Logie to the Minister for Disability Issues (01 Jun 2022): What has been the annual spend, each year for the last ten years, for Job Support funding? Hon Carmel Sepuloni (Minister for Disability Issues) replied.</w:t>
      </w:r>
      <w:r>
        <w:rPr>
          <w:rStyle w:val="EndnoteReference"/>
          <w:bCs/>
        </w:rPr>
        <w:endnoteReference w:id="51"/>
      </w:r>
    </w:p>
    <w:p w14:paraId="0F43C22B" w14:textId="77777777" w:rsidR="00005FA9" w:rsidRPr="00A22FD8" w:rsidRDefault="00005FA9" w:rsidP="00005FA9">
      <w:pPr>
        <w:pStyle w:val="Caption"/>
      </w:pPr>
      <w:bookmarkStart w:id="307" w:name="_Toc132543857"/>
      <w:r w:rsidRPr="00A22FD8">
        <w:t>Table 3</w:t>
      </w:r>
      <w:r>
        <w:t>:</w:t>
      </w:r>
      <w:r w:rsidRPr="00A22FD8">
        <w:t xml:space="preserve"> (17449) The annual spend on Job Support funding each year for the last ten years</w:t>
      </w:r>
      <w:bookmarkEnd w:id="307"/>
      <w:r w:rsidRPr="00A22FD8">
        <w:t>.</w:t>
      </w:r>
    </w:p>
    <w:tbl>
      <w:tblPr>
        <w:tblStyle w:val="TableGrid"/>
        <w:tblW w:w="0" w:type="auto"/>
        <w:tblLayout w:type="fixed"/>
        <w:tblLook w:val="06A0" w:firstRow="1" w:lastRow="0" w:firstColumn="1" w:lastColumn="0" w:noHBand="1" w:noVBand="1"/>
      </w:tblPr>
      <w:tblGrid>
        <w:gridCol w:w="3045"/>
        <w:gridCol w:w="3046"/>
      </w:tblGrid>
      <w:tr w:rsidR="00005FA9" w:rsidRPr="004F494E" w14:paraId="4B4CEC73" w14:textId="77777777" w:rsidTr="00057622">
        <w:trPr>
          <w:trHeight w:val="251"/>
        </w:trPr>
        <w:tc>
          <w:tcPr>
            <w:tcW w:w="3045" w:type="dxa"/>
            <w:shd w:val="clear" w:color="auto" w:fill="auto"/>
          </w:tcPr>
          <w:p w14:paraId="357CAF95" w14:textId="77777777" w:rsidR="00005FA9" w:rsidRPr="00F86F36" w:rsidRDefault="00005FA9" w:rsidP="00057622">
            <w:pPr>
              <w:spacing w:after="0" w:line="240" w:lineRule="auto"/>
              <w:rPr>
                <w:rFonts w:eastAsia="Calibri" w:cs="Arial"/>
                <w:b/>
                <w:bCs/>
                <w:szCs w:val="24"/>
              </w:rPr>
            </w:pPr>
            <w:r w:rsidRPr="00F86F36">
              <w:rPr>
                <w:rFonts w:eastAsia="Calibri" w:cs="Arial"/>
                <w:b/>
                <w:bCs/>
                <w:szCs w:val="24"/>
              </w:rPr>
              <w:t>Financial year</w:t>
            </w:r>
          </w:p>
        </w:tc>
        <w:tc>
          <w:tcPr>
            <w:tcW w:w="3046" w:type="dxa"/>
            <w:shd w:val="clear" w:color="auto" w:fill="auto"/>
          </w:tcPr>
          <w:p w14:paraId="0B68B74E" w14:textId="77777777" w:rsidR="00005FA9" w:rsidRPr="00F86F36" w:rsidRDefault="00005FA9" w:rsidP="00057622">
            <w:pPr>
              <w:spacing w:after="0" w:line="240" w:lineRule="auto"/>
              <w:rPr>
                <w:rFonts w:cs="Arial"/>
                <w:b/>
                <w:bCs/>
                <w:szCs w:val="24"/>
              </w:rPr>
            </w:pPr>
            <w:r w:rsidRPr="00F86F36">
              <w:rPr>
                <w:rFonts w:eastAsia="Calibri" w:cs="Arial"/>
                <w:b/>
                <w:bCs/>
                <w:szCs w:val="24"/>
              </w:rPr>
              <w:t>Totals</w:t>
            </w:r>
          </w:p>
        </w:tc>
      </w:tr>
      <w:tr w:rsidR="00005FA9" w:rsidRPr="004F494E" w14:paraId="1A711A92" w14:textId="77777777" w:rsidTr="00057622">
        <w:trPr>
          <w:trHeight w:val="251"/>
        </w:trPr>
        <w:tc>
          <w:tcPr>
            <w:tcW w:w="3045" w:type="dxa"/>
          </w:tcPr>
          <w:p w14:paraId="6117CBB2" w14:textId="77777777" w:rsidR="00005FA9" w:rsidRPr="004F494E" w:rsidRDefault="00005FA9" w:rsidP="00057622">
            <w:pPr>
              <w:spacing w:after="0" w:line="240" w:lineRule="auto"/>
              <w:rPr>
                <w:rFonts w:eastAsia="Calibri" w:cs="Arial"/>
                <w:szCs w:val="24"/>
              </w:rPr>
            </w:pPr>
            <w:r w:rsidRPr="004F494E">
              <w:rPr>
                <w:rFonts w:eastAsia="Calibri" w:cs="Arial"/>
                <w:szCs w:val="24"/>
              </w:rPr>
              <w:t>2012/13</w:t>
            </w:r>
          </w:p>
        </w:tc>
        <w:tc>
          <w:tcPr>
            <w:tcW w:w="3046" w:type="dxa"/>
          </w:tcPr>
          <w:p w14:paraId="68EE5649" w14:textId="77777777" w:rsidR="00005FA9" w:rsidRPr="004F494E" w:rsidRDefault="00005FA9" w:rsidP="00057622">
            <w:pPr>
              <w:spacing w:after="0" w:line="240" w:lineRule="auto"/>
              <w:jc w:val="right"/>
              <w:rPr>
                <w:rFonts w:eastAsia="Calibri" w:cs="Arial"/>
                <w:szCs w:val="24"/>
              </w:rPr>
            </w:pPr>
            <w:r w:rsidRPr="004F494E">
              <w:rPr>
                <w:rFonts w:cs="Arial"/>
                <w:szCs w:val="24"/>
              </w:rPr>
              <w:t>$6,457,908</w:t>
            </w:r>
          </w:p>
        </w:tc>
      </w:tr>
      <w:tr w:rsidR="00005FA9" w:rsidRPr="004F494E" w14:paraId="7E2E66AB" w14:textId="77777777" w:rsidTr="00057622">
        <w:trPr>
          <w:trHeight w:val="251"/>
        </w:trPr>
        <w:tc>
          <w:tcPr>
            <w:tcW w:w="3045" w:type="dxa"/>
          </w:tcPr>
          <w:p w14:paraId="001503AC" w14:textId="77777777" w:rsidR="00005FA9" w:rsidRPr="004F494E" w:rsidRDefault="00005FA9" w:rsidP="00057622">
            <w:pPr>
              <w:spacing w:after="0" w:line="240" w:lineRule="auto"/>
              <w:rPr>
                <w:rFonts w:eastAsia="Calibri" w:cs="Arial"/>
                <w:szCs w:val="24"/>
              </w:rPr>
            </w:pPr>
            <w:r w:rsidRPr="004F494E">
              <w:rPr>
                <w:rFonts w:eastAsia="Calibri" w:cs="Arial"/>
                <w:szCs w:val="24"/>
              </w:rPr>
              <w:t>2013/14</w:t>
            </w:r>
          </w:p>
        </w:tc>
        <w:tc>
          <w:tcPr>
            <w:tcW w:w="3046" w:type="dxa"/>
          </w:tcPr>
          <w:p w14:paraId="413A8C8A" w14:textId="77777777" w:rsidR="00005FA9" w:rsidRPr="004F494E" w:rsidRDefault="00005FA9" w:rsidP="00057622">
            <w:pPr>
              <w:spacing w:after="0" w:line="240" w:lineRule="auto"/>
              <w:jc w:val="right"/>
              <w:rPr>
                <w:rFonts w:eastAsia="Calibri" w:cs="Arial"/>
                <w:szCs w:val="24"/>
              </w:rPr>
            </w:pPr>
            <w:r w:rsidRPr="004F494E">
              <w:rPr>
                <w:rFonts w:cs="Arial"/>
                <w:szCs w:val="24"/>
              </w:rPr>
              <w:t>$5,658,150</w:t>
            </w:r>
          </w:p>
        </w:tc>
      </w:tr>
      <w:tr w:rsidR="00005FA9" w:rsidRPr="004F494E" w14:paraId="7A3546DC" w14:textId="77777777" w:rsidTr="00057622">
        <w:trPr>
          <w:trHeight w:val="251"/>
        </w:trPr>
        <w:tc>
          <w:tcPr>
            <w:tcW w:w="3045" w:type="dxa"/>
          </w:tcPr>
          <w:p w14:paraId="5525A21C" w14:textId="77777777" w:rsidR="00005FA9" w:rsidRPr="004F494E" w:rsidRDefault="00005FA9" w:rsidP="00057622">
            <w:pPr>
              <w:spacing w:after="0" w:line="240" w:lineRule="auto"/>
              <w:rPr>
                <w:rFonts w:eastAsia="Calibri" w:cs="Arial"/>
                <w:szCs w:val="24"/>
              </w:rPr>
            </w:pPr>
            <w:r w:rsidRPr="004F494E">
              <w:rPr>
                <w:rFonts w:eastAsia="Calibri" w:cs="Arial"/>
                <w:szCs w:val="24"/>
              </w:rPr>
              <w:t>2014/15</w:t>
            </w:r>
          </w:p>
        </w:tc>
        <w:tc>
          <w:tcPr>
            <w:tcW w:w="3046" w:type="dxa"/>
          </w:tcPr>
          <w:p w14:paraId="1FC8ECE8" w14:textId="77777777" w:rsidR="00005FA9" w:rsidRPr="004F494E" w:rsidRDefault="00005FA9" w:rsidP="00057622">
            <w:pPr>
              <w:spacing w:after="0" w:line="240" w:lineRule="auto"/>
              <w:jc w:val="right"/>
              <w:rPr>
                <w:rFonts w:eastAsia="Calibri" w:cs="Arial"/>
                <w:szCs w:val="24"/>
              </w:rPr>
            </w:pPr>
            <w:r w:rsidRPr="004F494E">
              <w:rPr>
                <w:rFonts w:cs="Arial"/>
                <w:szCs w:val="24"/>
              </w:rPr>
              <w:t>$5,632,776</w:t>
            </w:r>
          </w:p>
        </w:tc>
      </w:tr>
      <w:tr w:rsidR="00005FA9" w:rsidRPr="004F494E" w14:paraId="539391F7" w14:textId="77777777" w:rsidTr="00057622">
        <w:trPr>
          <w:trHeight w:val="251"/>
        </w:trPr>
        <w:tc>
          <w:tcPr>
            <w:tcW w:w="3045" w:type="dxa"/>
          </w:tcPr>
          <w:p w14:paraId="68EC6A2B" w14:textId="77777777" w:rsidR="00005FA9" w:rsidRPr="004F494E" w:rsidRDefault="00005FA9" w:rsidP="00057622">
            <w:pPr>
              <w:spacing w:after="0" w:line="240" w:lineRule="auto"/>
              <w:rPr>
                <w:rFonts w:eastAsia="Calibri" w:cs="Arial"/>
                <w:szCs w:val="24"/>
              </w:rPr>
            </w:pPr>
            <w:r w:rsidRPr="004F494E">
              <w:rPr>
                <w:rFonts w:eastAsia="Calibri" w:cs="Arial"/>
                <w:szCs w:val="24"/>
              </w:rPr>
              <w:t>2015/16</w:t>
            </w:r>
          </w:p>
        </w:tc>
        <w:tc>
          <w:tcPr>
            <w:tcW w:w="3046" w:type="dxa"/>
          </w:tcPr>
          <w:p w14:paraId="50B1E463" w14:textId="77777777" w:rsidR="00005FA9" w:rsidRPr="004F494E" w:rsidRDefault="00005FA9" w:rsidP="00057622">
            <w:pPr>
              <w:spacing w:after="0" w:line="240" w:lineRule="auto"/>
              <w:jc w:val="right"/>
              <w:rPr>
                <w:rFonts w:eastAsia="Calibri" w:cs="Arial"/>
                <w:szCs w:val="24"/>
              </w:rPr>
            </w:pPr>
            <w:r w:rsidRPr="004F494E">
              <w:rPr>
                <w:rFonts w:cs="Arial"/>
                <w:szCs w:val="24"/>
              </w:rPr>
              <w:t>$5,269,798</w:t>
            </w:r>
          </w:p>
        </w:tc>
      </w:tr>
      <w:tr w:rsidR="00005FA9" w:rsidRPr="004F494E" w14:paraId="7128F4F2" w14:textId="77777777" w:rsidTr="00057622">
        <w:trPr>
          <w:trHeight w:val="251"/>
        </w:trPr>
        <w:tc>
          <w:tcPr>
            <w:tcW w:w="3045" w:type="dxa"/>
          </w:tcPr>
          <w:p w14:paraId="5F538F10" w14:textId="77777777" w:rsidR="00005FA9" w:rsidRPr="004F494E" w:rsidRDefault="00005FA9" w:rsidP="00057622">
            <w:pPr>
              <w:spacing w:after="0" w:line="240" w:lineRule="auto"/>
              <w:rPr>
                <w:rFonts w:eastAsia="Calibri" w:cs="Arial"/>
                <w:szCs w:val="24"/>
              </w:rPr>
            </w:pPr>
            <w:r w:rsidRPr="004F494E">
              <w:rPr>
                <w:rFonts w:eastAsia="Calibri" w:cs="Arial"/>
                <w:szCs w:val="24"/>
              </w:rPr>
              <w:t>2016/17</w:t>
            </w:r>
          </w:p>
        </w:tc>
        <w:tc>
          <w:tcPr>
            <w:tcW w:w="3046" w:type="dxa"/>
          </w:tcPr>
          <w:p w14:paraId="23A44CF4" w14:textId="77777777" w:rsidR="00005FA9" w:rsidRPr="004F494E" w:rsidRDefault="00005FA9" w:rsidP="00057622">
            <w:pPr>
              <w:spacing w:after="0" w:line="240" w:lineRule="auto"/>
              <w:jc w:val="right"/>
              <w:rPr>
                <w:rFonts w:eastAsia="Calibri" w:cs="Arial"/>
                <w:szCs w:val="24"/>
              </w:rPr>
            </w:pPr>
            <w:r w:rsidRPr="004F494E">
              <w:rPr>
                <w:rFonts w:cs="Arial"/>
                <w:szCs w:val="24"/>
              </w:rPr>
              <w:t>$5,091,209</w:t>
            </w:r>
          </w:p>
        </w:tc>
      </w:tr>
      <w:tr w:rsidR="00005FA9" w:rsidRPr="004F494E" w14:paraId="30AA248E" w14:textId="77777777" w:rsidTr="00057622">
        <w:trPr>
          <w:trHeight w:val="269"/>
        </w:trPr>
        <w:tc>
          <w:tcPr>
            <w:tcW w:w="3045" w:type="dxa"/>
          </w:tcPr>
          <w:p w14:paraId="4B49CC9E" w14:textId="77777777" w:rsidR="00005FA9" w:rsidRPr="004F494E" w:rsidRDefault="00005FA9" w:rsidP="00057622">
            <w:pPr>
              <w:spacing w:after="0" w:line="240" w:lineRule="auto"/>
              <w:rPr>
                <w:rFonts w:eastAsia="Calibri" w:cs="Arial"/>
                <w:szCs w:val="24"/>
              </w:rPr>
            </w:pPr>
            <w:r w:rsidRPr="004F494E">
              <w:rPr>
                <w:rFonts w:eastAsia="Calibri" w:cs="Arial"/>
                <w:szCs w:val="24"/>
              </w:rPr>
              <w:t>2017/18</w:t>
            </w:r>
          </w:p>
        </w:tc>
        <w:tc>
          <w:tcPr>
            <w:tcW w:w="3046" w:type="dxa"/>
          </w:tcPr>
          <w:p w14:paraId="693BA808" w14:textId="77777777" w:rsidR="00005FA9" w:rsidRPr="004F494E" w:rsidRDefault="00005FA9" w:rsidP="00057622">
            <w:pPr>
              <w:spacing w:after="0" w:line="240" w:lineRule="auto"/>
              <w:jc w:val="right"/>
              <w:rPr>
                <w:rFonts w:eastAsia="Calibri" w:cs="Arial"/>
                <w:szCs w:val="24"/>
              </w:rPr>
            </w:pPr>
            <w:r w:rsidRPr="004F494E">
              <w:rPr>
                <w:rFonts w:cs="Arial"/>
                <w:szCs w:val="24"/>
              </w:rPr>
              <w:t>$5,449,272</w:t>
            </w:r>
          </w:p>
        </w:tc>
      </w:tr>
      <w:tr w:rsidR="00005FA9" w:rsidRPr="004F494E" w14:paraId="6F07F61D" w14:textId="77777777" w:rsidTr="00057622">
        <w:trPr>
          <w:trHeight w:val="251"/>
        </w:trPr>
        <w:tc>
          <w:tcPr>
            <w:tcW w:w="3045" w:type="dxa"/>
          </w:tcPr>
          <w:p w14:paraId="0A4939C6" w14:textId="77777777" w:rsidR="00005FA9" w:rsidRPr="004F494E" w:rsidRDefault="00005FA9" w:rsidP="00057622">
            <w:pPr>
              <w:spacing w:after="0" w:line="240" w:lineRule="auto"/>
              <w:rPr>
                <w:rFonts w:eastAsia="Calibri" w:cs="Arial"/>
                <w:szCs w:val="24"/>
              </w:rPr>
            </w:pPr>
            <w:r w:rsidRPr="004F494E">
              <w:rPr>
                <w:rFonts w:eastAsia="Calibri" w:cs="Arial"/>
                <w:szCs w:val="24"/>
              </w:rPr>
              <w:t>2018/19</w:t>
            </w:r>
          </w:p>
        </w:tc>
        <w:tc>
          <w:tcPr>
            <w:tcW w:w="3046" w:type="dxa"/>
          </w:tcPr>
          <w:p w14:paraId="363A20C5" w14:textId="77777777" w:rsidR="00005FA9" w:rsidRPr="004F494E" w:rsidRDefault="00005FA9" w:rsidP="00057622">
            <w:pPr>
              <w:spacing w:after="0" w:line="240" w:lineRule="auto"/>
              <w:jc w:val="right"/>
              <w:rPr>
                <w:rFonts w:eastAsia="Calibri" w:cs="Arial"/>
                <w:szCs w:val="24"/>
              </w:rPr>
            </w:pPr>
            <w:r w:rsidRPr="004F494E">
              <w:rPr>
                <w:rFonts w:cs="Arial"/>
                <w:szCs w:val="24"/>
              </w:rPr>
              <w:t>$5,330,898</w:t>
            </w:r>
          </w:p>
        </w:tc>
      </w:tr>
      <w:tr w:rsidR="00005FA9" w:rsidRPr="004F494E" w14:paraId="0AA55F3C" w14:textId="77777777" w:rsidTr="00057622">
        <w:trPr>
          <w:trHeight w:val="251"/>
        </w:trPr>
        <w:tc>
          <w:tcPr>
            <w:tcW w:w="3045" w:type="dxa"/>
          </w:tcPr>
          <w:p w14:paraId="1F799A7E" w14:textId="77777777" w:rsidR="00005FA9" w:rsidRPr="004F494E" w:rsidRDefault="00005FA9" w:rsidP="00057622">
            <w:pPr>
              <w:spacing w:after="0" w:line="240" w:lineRule="auto"/>
              <w:rPr>
                <w:rFonts w:eastAsia="Calibri" w:cs="Arial"/>
                <w:szCs w:val="24"/>
              </w:rPr>
            </w:pPr>
            <w:r w:rsidRPr="004F494E">
              <w:rPr>
                <w:rFonts w:eastAsia="Calibri" w:cs="Arial"/>
                <w:szCs w:val="24"/>
              </w:rPr>
              <w:t>2019/20</w:t>
            </w:r>
          </w:p>
        </w:tc>
        <w:tc>
          <w:tcPr>
            <w:tcW w:w="3046" w:type="dxa"/>
          </w:tcPr>
          <w:p w14:paraId="1728933E" w14:textId="77777777" w:rsidR="00005FA9" w:rsidRPr="004F494E" w:rsidRDefault="00005FA9" w:rsidP="00057622">
            <w:pPr>
              <w:spacing w:after="0" w:line="240" w:lineRule="auto"/>
              <w:jc w:val="right"/>
              <w:rPr>
                <w:rFonts w:eastAsia="Calibri" w:cs="Arial"/>
                <w:szCs w:val="24"/>
              </w:rPr>
            </w:pPr>
            <w:r w:rsidRPr="004F494E">
              <w:rPr>
                <w:rFonts w:cs="Arial"/>
                <w:szCs w:val="24"/>
              </w:rPr>
              <w:t>$4,709,320</w:t>
            </w:r>
          </w:p>
        </w:tc>
      </w:tr>
      <w:tr w:rsidR="00005FA9" w:rsidRPr="004F494E" w14:paraId="035C14FE" w14:textId="77777777" w:rsidTr="00057622">
        <w:trPr>
          <w:trHeight w:val="251"/>
        </w:trPr>
        <w:tc>
          <w:tcPr>
            <w:tcW w:w="3045" w:type="dxa"/>
          </w:tcPr>
          <w:p w14:paraId="05432CA2" w14:textId="77777777" w:rsidR="00005FA9" w:rsidRPr="004F494E" w:rsidRDefault="00005FA9" w:rsidP="00057622">
            <w:pPr>
              <w:spacing w:after="0" w:line="240" w:lineRule="auto"/>
              <w:rPr>
                <w:rFonts w:eastAsia="Calibri" w:cs="Arial"/>
                <w:szCs w:val="24"/>
              </w:rPr>
            </w:pPr>
            <w:r w:rsidRPr="004F494E">
              <w:rPr>
                <w:rFonts w:eastAsia="Calibri" w:cs="Arial"/>
                <w:szCs w:val="24"/>
              </w:rPr>
              <w:t>2020/21</w:t>
            </w:r>
          </w:p>
        </w:tc>
        <w:tc>
          <w:tcPr>
            <w:tcW w:w="3046" w:type="dxa"/>
          </w:tcPr>
          <w:p w14:paraId="7D14004A" w14:textId="77777777" w:rsidR="00005FA9" w:rsidRPr="004F494E" w:rsidRDefault="00005FA9" w:rsidP="00057622">
            <w:pPr>
              <w:spacing w:after="0" w:line="240" w:lineRule="auto"/>
              <w:jc w:val="right"/>
              <w:rPr>
                <w:rFonts w:eastAsia="Calibri" w:cs="Arial"/>
                <w:szCs w:val="24"/>
              </w:rPr>
            </w:pPr>
            <w:r w:rsidRPr="004F494E">
              <w:rPr>
                <w:rFonts w:cs="Arial"/>
                <w:szCs w:val="24"/>
              </w:rPr>
              <w:t>$4,003,342</w:t>
            </w:r>
          </w:p>
        </w:tc>
      </w:tr>
      <w:tr w:rsidR="00005FA9" w:rsidRPr="004F494E" w14:paraId="7A128364" w14:textId="77777777" w:rsidTr="00057622">
        <w:trPr>
          <w:trHeight w:val="251"/>
        </w:trPr>
        <w:tc>
          <w:tcPr>
            <w:tcW w:w="3045" w:type="dxa"/>
          </w:tcPr>
          <w:p w14:paraId="7E9DFC5B" w14:textId="77777777" w:rsidR="00005FA9" w:rsidRPr="004F494E" w:rsidRDefault="00005FA9" w:rsidP="00057622">
            <w:pPr>
              <w:spacing w:after="0" w:line="240" w:lineRule="auto"/>
              <w:rPr>
                <w:rFonts w:eastAsia="Calibri" w:cs="Arial"/>
                <w:szCs w:val="24"/>
              </w:rPr>
            </w:pPr>
            <w:r w:rsidRPr="004F494E">
              <w:rPr>
                <w:rFonts w:eastAsia="Calibri" w:cs="Arial"/>
                <w:szCs w:val="24"/>
              </w:rPr>
              <w:t>2021/22</w:t>
            </w:r>
            <w:r>
              <w:rPr>
                <w:rFonts w:eastAsia="Calibri" w:cs="Arial"/>
                <w:szCs w:val="24"/>
              </w:rPr>
              <w:t xml:space="preserve"> </w:t>
            </w:r>
            <w:r>
              <w:t>as at 31/3/22</w:t>
            </w:r>
          </w:p>
        </w:tc>
        <w:tc>
          <w:tcPr>
            <w:tcW w:w="3046" w:type="dxa"/>
          </w:tcPr>
          <w:p w14:paraId="0DE73615" w14:textId="77777777" w:rsidR="00005FA9" w:rsidRPr="004F494E" w:rsidRDefault="00005FA9" w:rsidP="00057622">
            <w:pPr>
              <w:spacing w:after="0" w:line="240" w:lineRule="auto"/>
              <w:jc w:val="right"/>
              <w:rPr>
                <w:rFonts w:eastAsia="Calibri" w:cs="Arial"/>
                <w:szCs w:val="24"/>
              </w:rPr>
            </w:pPr>
            <w:r w:rsidRPr="004F494E">
              <w:rPr>
                <w:rFonts w:cs="Arial"/>
                <w:szCs w:val="24"/>
              </w:rPr>
              <w:t>$2,522,033</w:t>
            </w:r>
          </w:p>
        </w:tc>
      </w:tr>
    </w:tbl>
    <w:p w14:paraId="33478346" w14:textId="77777777" w:rsidR="00005FA9" w:rsidRDefault="00005FA9" w:rsidP="00005FA9">
      <w:pPr>
        <w:spacing w:after="0"/>
      </w:pPr>
    </w:p>
    <w:p w14:paraId="31D36031" w14:textId="77777777" w:rsidR="00005FA9" w:rsidRDefault="00005FA9" w:rsidP="00005FA9">
      <w:pPr>
        <w:pStyle w:val="Heading3"/>
      </w:pPr>
      <w:bookmarkStart w:id="308" w:name="_Toc133076290"/>
      <w:bookmarkStart w:id="309" w:name="_Toc132543855"/>
      <w:r>
        <w:lastRenderedPageBreak/>
        <w:t>Parliamentary Written Question 17452 (2022)</w:t>
      </w:r>
      <w:bookmarkEnd w:id="308"/>
    </w:p>
    <w:p w14:paraId="151E122B" w14:textId="77777777" w:rsidR="00005FA9" w:rsidRDefault="00005FA9" w:rsidP="00005FA9">
      <w:r>
        <w:t>Jan Logie to the Minister for Disability Issues (01 Jun 2022): What is the annual budget, each year for the last ten years, for Job Support funding? Hon Carmel Sepuloni (Minister for Disability Issues) replied: I am advised that the Ministry of Social Development (the Ministry) can only provide annual budget for Support Funds in total. As this is an on-demand service, there is no specific budget allocation to the various assistance categories. The uptake varies from year to year between categories.</w:t>
      </w:r>
      <w:r>
        <w:rPr>
          <w:rStyle w:val="EndnoteReference"/>
          <w:bCs/>
        </w:rPr>
        <w:endnoteReference w:id="52"/>
      </w:r>
    </w:p>
    <w:p w14:paraId="3DABB158" w14:textId="77777777" w:rsidR="00005FA9" w:rsidRPr="000F194B" w:rsidRDefault="00005FA9" w:rsidP="00005FA9">
      <w:pPr>
        <w:pStyle w:val="Caption"/>
      </w:pPr>
      <w:r w:rsidRPr="00F86F36">
        <w:t>Table 1</w:t>
      </w:r>
      <w:r>
        <w:t>: (17452)</w:t>
      </w:r>
      <w:r w:rsidRPr="00F86F36">
        <w:rPr>
          <w:bCs/>
        </w:rPr>
        <w:t xml:space="preserve"> </w:t>
      </w:r>
      <w:r>
        <w:t>The annual budget for the Support Funds in total each year for the last ten years</w:t>
      </w:r>
      <w:bookmarkEnd w:id="309"/>
      <w:r>
        <w:rPr>
          <w:bCs/>
        </w:rPr>
        <w:t>.</w:t>
      </w:r>
    </w:p>
    <w:tbl>
      <w:tblPr>
        <w:tblStyle w:val="TableGrid"/>
        <w:tblW w:w="0" w:type="auto"/>
        <w:tblLayout w:type="fixed"/>
        <w:tblLook w:val="06A0" w:firstRow="1" w:lastRow="0" w:firstColumn="1" w:lastColumn="0" w:noHBand="1" w:noVBand="1"/>
      </w:tblPr>
      <w:tblGrid>
        <w:gridCol w:w="3045"/>
        <w:gridCol w:w="3046"/>
      </w:tblGrid>
      <w:tr w:rsidR="00005FA9" w:rsidRPr="00911413" w14:paraId="0BDF9540" w14:textId="77777777" w:rsidTr="00364431">
        <w:trPr>
          <w:trHeight w:val="251"/>
        </w:trPr>
        <w:tc>
          <w:tcPr>
            <w:tcW w:w="3045" w:type="dxa"/>
            <w:shd w:val="clear" w:color="auto" w:fill="auto"/>
          </w:tcPr>
          <w:p w14:paraId="7EBF5FDF" w14:textId="77777777" w:rsidR="00005FA9" w:rsidRPr="00F86F36" w:rsidRDefault="00005FA9" w:rsidP="00364431">
            <w:pPr>
              <w:spacing w:after="0" w:line="240" w:lineRule="auto"/>
              <w:rPr>
                <w:rFonts w:eastAsia="Calibri" w:cs="Arial"/>
                <w:b/>
                <w:bCs/>
                <w:szCs w:val="24"/>
              </w:rPr>
            </w:pPr>
            <w:r w:rsidRPr="00F86F36">
              <w:rPr>
                <w:rFonts w:eastAsia="Calibri" w:cs="Arial"/>
                <w:b/>
                <w:bCs/>
                <w:szCs w:val="24"/>
              </w:rPr>
              <w:t>Financial year</w:t>
            </w:r>
          </w:p>
        </w:tc>
        <w:tc>
          <w:tcPr>
            <w:tcW w:w="3046" w:type="dxa"/>
            <w:shd w:val="clear" w:color="auto" w:fill="auto"/>
          </w:tcPr>
          <w:p w14:paraId="0ECDE53A" w14:textId="77777777" w:rsidR="00005FA9" w:rsidRPr="00F86F36" w:rsidRDefault="00005FA9" w:rsidP="00364431">
            <w:pPr>
              <w:spacing w:after="0" w:line="240" w:lineRule="auto"/>
              <w:rPr>
                <w:rFonts w:cs="Arial"/>
                <w:b/>
                <w:bCs/>
                <w:szCs w:val="24"/>
              </w:rPr>
            </w:pPr>
            <w:r w:rsidRPr="00F86F36">
              <w:rPr>
                <w:rFonts w:eastAsia="Calibri" w:cs="Arial"/>
                <w:b/>
                <w:bCs/>
                <w:szCs w:val="24"/>
              </w:rPr>
              <w:t>Totals</w:t>
            </w:r>
          </w:p>
        </w:tc>
      </w:tr>
      <w:tr w:rsidR="00005FA9" w:rsidRPr="004F494E" w14:paraId="03934687" w14:textId="77777777" w:rsidTr="00364431">
        <w:trPr>
          <w:trHeight w:val="251"/>
        </w:trPr>
        <w:tc>
          <w:tcPr>
            <w:tcW w:w="3045" w:type="dxa"/>
          </w:tcPr>
          <w:p w14:paraId="1B6D6E0D" w14:textId="77777777" w:rsidR="00005FA9" w:rsidRPr="004F494E" w:rsidRDefault="00005FA9" w:rsidP="00364431">
            <w:pPr>
              <w:spacing w:after="0" w:line="240" w:lineRule="auto"/>
              <w:rPr>
                <w:rFonts w:eastAsia="Calibri" w:cs="Arial"/>
                <w:szCs w:val="24"/>
              </w:rPr>
            </w:pPr>
            <w:r w:rsidRPr="004F494E">
              <w:rPr>
                <w:rFonts w:eastAsia="Calibri" w:cs="Arial"/>
                <w:szCs w:val="24"/>
              </w:rPr>
              <w:t>2012/13</w:t>
            </w:r>
          </w:p>
        </w:tc>
        <w:tc>
          <w:tcPr>
            <w:tcW w:w="3046" w:type="dxa"/>
          </w:tcPr>
          <w:p w14:paraId="5023AC3B" w14:textId="77777777" w:rsidR="00005FA9" w:rsidRPr="004F494E" w:rsidRDefault="00005FA9" w:rsidP="00364431">
            <w:pPr>
              <w:spacing w:after="0" w:line="240" w:lineRule="auto"/>
              <w:jc w:val="right"/>
              <w:rPr>
                <w:rFonts w:eastAsia="Calibri" w:cs="Arial"/>
                <w:szCs w:val="24"/>
              </w:rPr>
            </w:pPr>
            <w:r w:rsidRPr="004F494E">
              <w:rPr>
                <w:rFonts w:cs="Arial"/>
                <w:szCs w:val="24"/>
              </w:rPr>
              <w:t>$7,526,491</w:t>
            </w:r>
          </w:p>
        </w:tc>
      </w:tr>
      <w:tr w:rsidR="00005FA9" w:rsidRPr="004F494E" w14:paraId="5393624C" w14:textId="77777777" w:rsidTr="00364431">
        <w:trPr>
          <w:trHeight w:val="251"/>
        </w:trPr>
        <w:tc>
          <w:tcPr>
            <w:tcW w:w="3045" w:type="dxa"/>
          </w:tcPr>
          <w:p w14:paraId="44055C85" w14:textId="77777777" w:rsidR="00005FA9" w:rsidRPr="004F494E" w:rsidRDefault="00005FA9" w:rsidP="00364431">
            <w:pPr>
              <w:spacing w:after="0" w:line="240" w:lineRule="auto"/>
              <w:rPr>
                <w:rFonts w:eastAsia="Calibri" w:cs="Arial"/>
                <w:szCs w:val="24"/>
              </w:rPr>
            </w:pPr>
            <w:r w:rsidRPr="004F494E">
              <w:rPr>
                <w:rFonts w:eastAsia="Calibri" w:cs="Arial"/>
                <w:szCs w:val="24"/>
              </w:rPr>
              <w:t>2013/14</w:t>
            </w:r>
          </w:p>
        </w:tc>
        <w:tc>
          <w:tcPr>
            <w:tcW w:w="3046" w:type="dxa"/>
          </w:tcPr>
          <w:p w14:paraId="1CBB2BFE" w14:textId="77777777" w:rsidR="00005FA9" w:rsidRPr="004F494E" w:rsidRDefault="00005FA9" w:rsidP="00364431">
            <w:pPr>
              <w:spacing w:after="0" w:line="240" w:lineRule="auto"/>
              <w:jc w:val="right"/>
              <w:rPr>
                <w:rFonts w:eastAsia="Calibri" w:cs="Arial"/>
                <w:szCs w:val="24"/>
              </w:rPr>
            </w:pPr>
            <w:r w:rsidRPr="004F494E">
              <w:rPr>
                <w:rFonts w:cs="Arial"/>
                <w:szCs w:val="24"/>
              </w:rPr>
              <w:t>$5,529,075</w:t>
            </w:r>
          </w:p>
        </w:tc>
      </w:tr>
      <w:tr w:rsidR="00005FA9" w:rsidRPr="004F494E" w14:paraId="6DAA4822" w14:textId="77777777" w:rsidTr="00364431">
        <w:trPr>
          <w:trHeight w:val="251"/>
        </w:trPr>
        <w:tc>
          <w:tcPr>
            <w:tcW w:w="3045" w:type="dxa"/>
          </w:tcPr>
          <w:p w14:paraId="582EF232" w14:textId="77777777" w:rsidR="00005FA9" w:rsidRPr="004F494E" w:rsidRDefault="00005FA9" w:rsidP="00364431">
            <w:pPr>
              <w:spacing w:after="0" w:line="240" w:lineRule="auto"/>
              <w:rPr>
                <w:rFonts w:eastAsia="Calibri" w:cs="Arial"/>
                <w:szCs w:val="24"/>
              </w:rPr>
            </w:pPr>
            <w:r w:rsidRPr="004F494E">
              <w:rPr>
                <w:rFonts w:eastAsia="Calibri" w:cs="Arial"/>
                <w:szCs w:val="24"/>
              </w:rPr>
              <w:t>2014/15</w:t>
            </w:r>
          </w:p>
        </w:tc>
        <w:tc>
          <w:tcPr>
            <w:tcW w:w="3046" w:type="dxa"/>
          </w:tcPr>
          <w:p w14:paraId="1C0E5A48" w14:textId="77777777" w:rsidR="00005FA9" w:rsidRPr="004F494E" w:rsidRDefault="00005FA9" w:rsidP="00364431">
            <w:pPr>
              <w:spacing w:after="0" w:line="240" w:lineRule="auto"/>
              <w:jc w:val="right"/>
              <w:rPr>
                <w:rFonts w:eastAsia="Calibri" w:cs="Arial"/>
                <w:szCs w:val="24"/>
              </w:rPr>
            </w:pPr>
            <w:r w:rsidRPr="004F494E">
              <w:rPr>
                <w:rFonts w:cs="Arial"/>
                <w:szCs w:val="24"/>
              </w:rPr>
              <w:t>$6,029,075</w:t>
            </w:r>
          </w:p>
        </w:tc>
      </w:tr>
      <w:tr w:rsidR="00005FA9" w:rsidRPr="004F494E" w14:paraId="00BA0BF2" w14:textId="77777777" w:rsidTr="00364431">
        <w:trPr>
          <w:trHeight w:val="251"/>
        </w:trPr>
        <w:tc>
          <w:tcPr>
            <w:tcW w:w="3045" w:type="dxa"/>
          </w:tcPr>
          <w:p w14:paraId="389E213C" w14:textId="77777777" w:rsidR="00005FA9" w:rsidRPr="004F494E" w:rsidRDefault="00005FA9" w:rsidP="00364431">
            <w:pPr>
              <w:spacing w:after="0" w:line="240" w:lineRule="auto"/>
              <w:rPr>
                <w:rFonts w:eastAsia="Calibri" w:cs="Arial"/>
                <w:szCs w:val="24"/>
              </w:rPr>
            </w:pPr>
            <w:r w:rsidRPr="004F494E">
              <w:rPr>
                <w:rFonts w:eastAsia="Calibri" w:cs="Arial"/>
                <w:szCs w:val="24"/>
              </w:rPr>
              <w:t>2015/16</w:t>
            </w:r>
          </w:p>
        </w:tc>
        <w:tc>
          <w:tcPr>
            <w:tcW w:w="3046" w:type="dxa"/>
          </w:tcPr>
          <w:p w14:paraId="256DCF65" w14:textId="77777777" w:rsidR="00005FA9" w:rsidRPr="004F494E" w:rsidRDefault="00005FA9" w:rsidP="00364431">
            <w:pPr>
              <w:spacing w:after="0" w:line="240" w:lineRule="auto"/>
              <w:jc w:val="right"/>
              <w:rPr>
                <w:rFonts w:eastAsia="Calibri" w:cs="Arial"/>
                <w:szCs w:val="24"/>
              </w:rPr>
            </w:pPr>
            <w:r w:rsidRPr="004F494E">
              <w:rPr>
                <w:rFonts w:cs="Arial"/>
                <w:szCs w:val="24"/>
              </w:rPr>
              <w:t>$5,529,075</w:t>
            </w:r>
          </w:p>
        </w:tc>
      </w:tr>
      <w:tr w:rsidR="00005FA9" w:rsidRPr="004F494E" w14:paraId="3D71A47B" w14:textId="77777777" w:rsidTr="00364431">
        <w:trPr>
          <w:trHeight w:val="251"/>
        </w:trPr>
        <w:tc>
          <w:tcPr>
            <w:tcW w:w="3045" w:type="dxa"/>
          </w:tcPr>
          <w:p w14:paraId="7C68E381" w14:textId="77777777" w:rsidR="00005FA9" w:rsidRPr="004F494E" w:rsidRDefault="00005FA9" w:rsidP="00364431">
            <w:pPr>
              <w:spacing w:after="0" w:line="240" w:lineRule="auto"/>
              <w:rPr>
                <w:rFonts w:eastAsia="Calibri" w:cs="Arial"/>
                <w:szCs w:val="24"/>
              </w:rPr>
            </w:pPr>
            <w:r w:rsidRPr="004F494E">
              <w:rPr>
                <w:rFonts w:eastAsia="Calibri" w:cs="Arial"/>
                <w:szCs w:val="24"/>
              </w:rPr>
              <w:t>2016/17</w:t>
            </w:r>
          </w:p>
        </w:tc>
        <w:tc>
          <w:tcPr>
            <w:tcW w:w="3046" w:type="dxa"/>
          </w:tcPr>
          <w:p w14:paraId="5EECCC97" w14:textId="77777777" w:rsidR="00005FA9" w:rsidRPr="004F494E" w:rsidRDefault="00005FA9" w:rsidP="00364431">
            <w:pPr>
              <w:spacing w:after="0" w:line="240" w:lineRule="auto"/>
              <w:jc w:val="right"/>
              <w:rPr>
                <w:rFonts w:eastAsia="Calibri" w:cs="Arial"/>
                <w:szCs w:val="24"/>
              </w:rPr>
            </w:pPr>
            <w:r w:rsidRPr="004F494E">
              <w:rPr>
                <w:rFonts w:cs="Arial"/>
                <w:szCs w:val="24"/>
              </w:rPr>
              <w:t>$4,700,000</w:t>
            </w:r>
          </w:p>
        </w:tc>
      </w:tr>
      <w:tr w:rsidR="00005FA9" w:rsidRPr="004F494E" w14:paraId="32AFE263" w14:textId="77777777" w:rsidTr="00364431">
        <w:trPr>
          <w:trHeight w:val="269"/>
        </w:trPr>
        <w:tc>
          <w:tcPr>
            <w:tcW w:w="3045" w:type="dxa"/>
          </w:tcPr>
          <w:p w14:paraId="4BBFE48A" w14:textId="77777777" w:rsidR="00005FA9" w:rsidRPr="004F494E" w:rsidRDefault="00005FA9" w:rsidP="00364431">
            <w:pPr>
              <w:spacing w:after="0" w:line="240" w:lineRule="auto"/>
              <w:rPr>
                <w:rFonts w:eastAsia="Calibri" w:cs="Arial"/>
                <w:szCs w:val="24"/>
              </w:rPr>
            </w:pPr>
            <w:r w:rsidRPr="004F494E">
              <w:rPr>
                <w:rFonts w:eastAsia="Calibri" w:cs="Arial"/>
                <w:szCs w:val="24"/>
              </w:rPr>
              <w:t>2017/18</w:t>
            </w:r>
          </w:p>
        </w:tc>
        <w:tc>
          <w:tcPr>
            <w:tcW w:w="3046" w:type="dxa"/>
          </w:tcPr>
          <w:p w14:paraId="1BAF6484" w14:textId="77777777" w:rsidR="00005FA9" w:rsidRPr="004F494E" w:rsidRDefault="00005FA9" w:rsidP="00364431">
            <w:pPr>
              <w:spacing w:after="0" w:line="240" w:lineRule="auto"/>
              <w:jc w:val="right"/>
              <w:rPr>
                <w:rFonts w:eastAsia="Calibri" w:cs="Arial"/>
                <w:szCs w:val="24"/>
              </w:rPr>
            </w:pPr>
            <w:r w:rsidRPr="004F494E">
              <w:rPr>
                <w:rFonts w:cs="Arial"/>
                <w:szCs w:val="24"/>
              </w:rPr>
              <w:t>$6,783,333</w:t>
            </w:r>
          </w:p>
        </w:tc>
      </w:tr>
      <w:tr w:rsidR="00005FA9" w:rsidRPr="004F494E" w14:paraId="0FBF7C0D" w14:textId="77777777" w:rsidTr="00364431">
        <w:trPr>
          <w:trHeight w:val="251"/>
        </w:trPr>
        <w:tc>
          <w:tcPr>
            <w:tcW w:w="3045" w:type="dxa"/>
          </w:tcPr>
          <w:p w14:paraId="208CBFEA" w14:textId="77777777" w:rsidR="00005FA9" w:rsidRPr="004F494E" w:rsidRDefault="00005FA9" w:rsidP="00364431">
            <w:pPr>
              <w:spacing w:after="0" w:line="240" w:lineRule="auto"/>
              <w:rPr>
                <w:rFonts w:eastAsia="Calibri" w:cs="Arial"/>
                <w:szCs w:val="24"/>
              </w:rPr>
            </w:pPr>
            <w:r w:rsidRPr="004F494E">
              <w:rPr>
                <w:rFonts w:eastAsia="Calibri" w:cs="Arial"/>
                <w:szCs w:val="24"/>
              </w:rPr>
              <w:t>2018/19</w:t>
            </w:r>
          </w:p>
        </w:tc>
        <w:tc>
          <w:tcPr>
            <w:tcW w:w="3046" w:type="dxa"/>
          </w:tcPr>
          <w:p w14:paraId="52AB4694" w14:textId="77777777" w:rsidR="00005FA9" w:rsidRPr="004F494E" w:rsidRDefault="00005FA9" w:rsidP="00364431">
            <w:pPr>
              <w:spacing w:after="0" w:line="240" w:lineRule="auto"/>
              <w:jc w:val="right"/>
              <w:rPr>
                <w:rFonts w:eastAsia="Calibri" w:cs="Arial"/>
                <w:szCs w:val="24"/>
              </w:rPr>
            </w:pPr>
            <w:r w:rsidRPr="004F494E">
              <w:rPr>
                <w:rFonts w:cs="Arial"/>
                <w:szCs w:val="24"/>
              </w:rPr>
              <w:t>$6,373,414</w:t>
            </w:r>
          </w:p>
        </w:tc>
      </w:tr>
      <w:tr w:rsidR="00005FA9" w:rsidRPr="004F494E" w14:paraId="072F9112" w14:textId="77777777" w:rsidTr="00364431">
        <w:trPr>
          <w:trHeight w:val="251"/>
        </w:trPr>
        <w:tc>
          <w:tcPr>
            <w:tcW w:w="3045" w:type="dxa"/>
          </w:tcPr>
          <w:p w14:paraId="4006C1DC" w14:textId="77777777" w:rsidR="00005FA9" w:rsidRPr="004F494E" w:rsidRDefault="00005FA9" w:rsidP="00364431">
            <w:pPr>
              <w:spacing w:after="0" w:line="240" w:lineRule="auto"/>
              <w:rPr>
                <w:rFonts w:eastAsia="Calibri" w:cs="Arial"/>
                <w:szCs w:val="24"/>
              </w:rPr>
            </w:pPr>
            <w:r w:rsidRPr="004F494E">
              <w:rPr>
                <w:rFonts w:eastAsia="Calibri" w:cs="Arial"/>
                <w:szCs w:val="24"/>
              </w:rPr>
              <w:t>2019/20</w:t>
            </w:r>
          </w:p>
        </w:tc>
        <w:tc>
          <w:tcPr>
            <w:tcW w:w="3046" w:type="dxa"/>
          </w:tcPr>
          <w:p w14:paraId="5E47E52B" w14:textId="77777777" w:rsidR="00005FA9" w:rsidRPr="004F494E" w:rsidRDefault="00005FA9" w:rsidP="00364431">
            <w:pPr>
              <w:spacing w:after="0" w:line="240" w:lineRule="auto"/>
              <w:jc w:val="right"/>
              <w:rPr>
                <w:rFonts w:eastAsia="Calibri" w:cs="Arial"/>
                <w:szCs w:val="24"/>
              </w:rPr>
            </w:pPr>
            <w:r w:rsidRPr="004F494E">
              <w:rPr>
                <w:rFonts w:cs="Arial"/>
                <w:szCs w:val="24"/>
              </w:rPr>
              <w:t>$6,333,659</w:t>
            </w:r>
          </w:p>
        </w:tc>
      </w:tr>
      <w:tr w:rsidR="00005FA9" w:rsidRPr="004F494E" w14:paraId="3B9301AB" w14:textId="77777777" w:rsidTr="00364431">
        <w:trPr>
          <w:trHeight w:val="251"/>
        </w:trPr>
        <w:tc>
          <w:tcPr>
            <w:tcW w:w="3045" w:type="dxa"/>
          </w:tcPr>
          <w:p w14:paraId="46DD08F9" w14:textId="77777777" w:rsidR="00005FA9" w:rsidRPr="004F494E" w:rsidRDefault="00005FA9" w:rsidP="00364431">
            <w:pPr>
              <w:spacing w:after="0" w:line="240" w:lineRule="auto"/>
              <w:rPr>
                <w:rFonts w:eastAsia="Calibri" w:cs="Arial"/>
                <w:szCs w:val="24"/>
              </w:rPr>
            </w:pPr>
            <w:r w:rsidRPr="004F494E">
              <w:rPr>
                <w:rFonts w:eastAsia="Calibri" w:cs="Arial"/>
                <w:szCs w:val="24"/>
              </w:rPr>
              <w:t>2020/21</w:t>
            </w:r>
          </w:p>
        </w:tc>
        <w:tc>
          <w:tcPr>
            <w:tcW w:w="3046" w:type="dxa"/>
          </w:tcPr>
          <w:p w14:paraId="28AE2375" w14:textId="77777777" w:rsidR="00005FA9" w:rsidRPr="004F494E" w:rsidRDefault="00005FA9" w:rsidP="00364431">
            <w:pPr>
              <w:spacing w:after="0" w:line="240" w:lineRule="auto"/>
              <w:jc w:val="right"/>
              <w:rPr>
                <w:rFonts w:eastAsia="Calibri" w:cs="Arial"/>
                <w:szCs w:val="24"/>
              </w:rPr>
            </w:pPr>
            <w:r w:rsidRPr="004F494E">
              <w:rPr>
                <w:rFonts w:cs="Arial"/>
                <w:szCs w:val="24"/>
              </w:rPr>
              <w:t>$6,333,659</w:t>
            </w:r>
          </w:p>
        </w:tc>
      </w:tr>
      <w:tr w:rsidR="00005FA9" w:rsidRPr="004F494E" w14:paraId="5D2E7A3E" w14:textId="77777777" w:rsidTr="00364431">
        <w:trPr>
          <w:trHeight w:val="251"/>
        </w:trPr>
        <w:tc>
          <w:tcPr>
            <w:tcW w:w="3045" w:type="dxa"/>
          </w:tcPr>
          <w:p w14:paraId="11B3BF83" w14:textId="77777777" w:rsidR="00005FA9" w:rsidRPr="004F494E" w:rsidRDefault="00005FA9" w:rsidP="00364431">
            <w:pPr>
              <w:spacing w:after="0" w:line="240" w:lineRule="auto"/>
              <w:rPr>
                <w:rFonts w:eastAsia="Calibri" w:cs="Arial"/>
                <w:szCs w:val="24"/>
              </w:rPr>
            </w:pPr>
            <w:r w:rsidRPr="004F494E">
              <w:rPr>
                <w:rFonts w:eastAsia="Calibri" w:cs="Arial"/>
                <w:szCs w:val="24"/>
              </w:rPr>
              <w:t>2021/22*</w:t>
            </w:r>
          </w:p>
        </w:tc>
        <w:tc>
          <w:tcPr>
            <w:tcW w:w="3046" w:type="dxa"/>
          </w:tcPr>
          <w:p w14:paraId="37C6B585" w14:textId="77777777" w:rsidR="00005FA9" w:rsidRPr="004F494E" w:rsidRDefault="00005FA9" w:rsidP="00364431">
            <w:pPr>
              <w:spacing w:after="0" w:line="240" w:lineRule="auto"/>
              <w:jc w:val="right"/>
              <w:rPr>
                <w:rFonts w:eastAsia="Calibri" w:cs="Arial"/>
                <w:szCs w:val="24"/>
              </w:rPr>
            </w:pPr>
            <w:r>
              <w:rPr>
                <w:rFonts w:cs="Arial"/>
                <w:szCs w:val="24"/>
              </w:rPr>
              <w:t xml:space="preserve"> </w:t>
            </w:r>
          </w:p>
        </w:tc>
      </w:tr>
    </w:tbl>
    <w:p w14:paraId="5B148EF0" w14:textId="77777777" w:rsidR="00005FA9" w:rsidRDefault="00005FA9" w:rsidP="00005FA9">
      <w:bookmarkStart w:id="310" w:name="_Toc132543856"/>
    </w:p>
    <w:bookmarkEnd w:id="310"/>
    <w:p w14:paraId="35B335C7" w14:textId="77777777" w:rsidR="00005FA9" w:rsidRDefault="00005FA9">
      <w:pPr>
        <w:spacing w:after="160" w:line="259" w:lineRule="auto"/>
        <w:rPr>
          <w:rFonts w:eastAsiaTheme="majorEastAsia" w:cstheme="majorBidi"/>
          <w:color w:val="1F3864" w:themeColor="accent5" w:themeShade="80"/>
          <w:sz w:val="44"/>
          <w:szCs w:val="26"/>
        </w:rPr>
      </w:pPr>
      <w:r>
        <w:br w:type="page"/>
      </w:r>
    </w:p>
    <w:p w14:paraId="23E9632E" w14:textId="47E84BDD" w:rsidR="00383D59" w:rsidRDefault="00336437" w:rsidP="00911413">
      <w:pPr>
        <w:pStyle w:val="Heading2"/>
        <w:spacing w:after="0"/>
      </w:pPr>
      <w:bookmarkStart w:id="311" w:name="_Toc133076291"/>
      <w:r>
        <w:lastRenderedPageBreak/>
        <w:t xml:space="preserve">Appendix </w:t>
      </w:r>
      <w:r w:rsidR="002E366F">
        <w:t>D</w:t>
      </w:r>
      <w:r>
        <w:t xml:space="preserve">: Inconsistencies in </w:t>
      </w:r>
      <w:r w:rsidR="002C6465">
        <w:t xml:space="preserve">data on </w:t>
      </w:r>
      <w:r w:rsidR="00D415AF">
        <w:t>S</w:t>
      </w:r>
      <w:r>
        <w:t>upport Funds</w:t>
      </w:r>
      <w:bookmarkEnd w:id="311"/>
    </w:p>
    <w:p w14:paraId="05D8E9FE" w14:textId="732D6177" w:rsidR="005A0E01" w:rsidRDefault="005A0E01" w:rsidP="005A0E01">
      <w:pPr>
        <w:spacing w:before="240"/>
      </w:pPr>
      <w:r>
        <w:t>Information on the number of individuals who have received Job Support each year for the last ten years differs significantly between responses to the same question a year apart (Parliamentary Written Question</w:t>
      </w:r>
      <w:r w:rsidRPr="006D3A1E">
        <w:t xml:space="preserve"> 16187</w:t>
      </w:r>
      <w:r>
        <w:t xml:space="preserve"> (2021</w:t>
      </w:r>
      <w:r w:rsidRPr="006D3A1E">
        <w:t>)</w:t>
      </w:r>
      <w:r>
        <w:t xml:space="preserve"> vs. 17439 (2022)). Similarly, Information on the number of applications for Job Support each year for the last ten years differs significantly between responses to the same question a year apart (</w:t>
      </w:r>
      <w:r w:rsidRPr="0092799B">
        <w:t>Parliamentary</w:t>
      </w:r>
      <w:r>
        <w:t xml:space="preserve"> Written Question </w:t>
      </w:r>
      <w:r w:rsidRPr="006D3A1E">
        <w:t>16187</w:t>
      </w:r>
      <w:r>
        <w:t xml:space="preserve"> (2021</w:t>
      </w:r>
      <w:r w:rsidRPr="006D3A1E">
        <w:t>)</w:t>
      </w:r>
      <w:r>
        <w:t xml:space="preserve"> vs. 17440 (2022)).</w:t>
      </w:r>
    </w:p>
    <w:p w14:paraId="311821E4" w14:textId="5644289F" w:rsidR="005A0E01" w:rsidRPr="005A0E01" w:rsidRDefault="005A0E01" w:rsidP="005A0E01">
      <w:r>
        <w:t xml:space="preserve">Furthermore, information on total applications for Training Support is held centrally. However, unlike with Job Support, the number of individuals receiving funding for Training Support is communicated as not being centrally held (Parliamentary Written Question 17438 (2022) vs. </w:t>
      </w:r>
      <w:r>
        <w:rPr>
          <w:rFonts w:eastAsia="Times New Roman"/>
        </w:rPr>
        <w:t>19557 (2022)</w:t>
      </w:r>
      <w:r>
        <w:t>).</w:t>
      </w:r>
    </w:p>
    <w:p w14:paraId="2DE05F2F" w14:textId="40F77A2A" w:rsidR="00911413" w:rsidRDefault="006D3A1E" w:rsidP="006D3A1E">
      <w:pPr>
        <w:pStyle w:val="Heading3"/>
      </w:pPr>
      <w:bookmarkStart w:id="312" w:name="_Toc133076292"/>
      <w:r>
        <w:t xml:space="preserve">Parliamentary Written Question </w:t>
      </w:r>
      <w:r w:rsidRPr="006D3A1E">
        <w:t>16187</w:t>
      </w:r>
      <w:r>
        <w:t xml:space="preserve"> (2021</w:t>
      </w:r>
      <w:r w:rsidRPr="006D3A1E">
        <w:t>)</w:t>
      </w:r>
      <w:r>
        <w:t xml:space="preserve"> </w:t>
      </w:r>
      <w:r w:rsidR="00DC7A82">
        <w:t>vs.</w:t>
      </w:r>
      <w:r w:rsidR="0092799B">
        <w:t xml:space="preserve"> </w:t>
      </w:r>
      <w:r>
        <w:t>17439 (2022)</w:t>
      </w:r>
      <w:bookmarkEnd w:id="312"/>
    </w:p>
    <w:p w14:paraId="71E42BA5" w14:textId="4E7DC320" w:rsidR="000E2E94" w:rsidRPr="00601A09" w:rsidRDefault="006B512B" w:rsidP="001B6E50">
      <w:pPr>
        <w:pStyle w:val="Caption"/>
      </w:pPr>
      <w:r>
        <w:t>Table 1: (16187)</w:t>
      </w:r>
      <w:r w:rsidR="00601A09">
        <w:t xml:space="preserve"> </w:t>
      </w:r>
      <w:r>
        <w:t xml:space="preserve">the number of individuals who have received Job Support </w:t>
      </w:r>
      <w:r w:rsidR="00E12939">
        <w:t>f</w:t>
      </w:r>
      <w:r>
        <w:t>unds each year since the financial year 2011/12;</w:t>
      </w:r>
      <w:r w:rsidR="00601A09">
        <w:rPr>
          <w:rStyle w:val="EndnoteReference"/>
          <w:b w:val="0"/>
          <w:bCs/>
        </w:rPr>
        <w:endnoteReference w:id="53"/>
      </w:r>
      <w:r>
        <w:t xml:space="preserve"> a</w:t>
      </w:r>
      <w:r w:rsidR="001F7E45">
        <w:t>longside</w:t>
      </w:r>
      <w:r>
        <w:t xml:space="preserve"> </w:t>
      </w:r>
      <w:r w:rsidR="005E4E03">
        <w:t>(17439) The number of individuals who have received Job Support funding each year over the last ten years.</w:t>
      </w:r>
      <w:r w:rsidR="00951FB0">
        <w:rPr>
          <w:rStyle w:val="EndnoteReference"/>
          <w:b w:val="0"/>
          <w:bCs/>
        </w:rPr>
        <w:endnoteReference w:id="54"/>
      </w:r>
    </w:p>
    <w:tbl>
      <w:tblPr>
        <w:tblStyle w:val="TableGrid"/>
        <w:tblW w:w="9067" w:type="dxa"/>
        <w:tblLayout w:type="fixed"/>
        <w:tblLook w:val="06A0" w:firstRow="1" w:lastRow="0" w:firstColumn="1" w:lastColumn="0" w:noHBand="1" w:noVBand="1"/>
      </w:tblPr>
      <w:tblGrid>
        <w:gridCol w:w="3022"/>
        <w:gridCol w:w="3022"/>
        <w:gridCol w:w="3023"/>
      </w:tblGrid>
      <w:tr w:rsidR="000E2E94" w14:paraId="2437FD5B" w14:textId="77777777" w:rsidTr="007F0506">
        <w:trPr>
          <w:trHeight w:val="260"/>
        </w:trPr>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596B3C5F" w14:textId="77777777" w:rsidR="000E2E94" w:rsidRPr="007F0506" w:rsidRDefault="000E2E94" w:rsidP="00E46857">
            <w:pPr>
              <w:spacing w:after="0" w:line="240" w:lineRule="auto"/>
              <w:rPr>
                <w:rFonts w:eastAsia="Calibri" w:cs="Arial"/>
                <w:b/>
                <w:bCs/>
                <w:szCs w:val="24"/>
              </w:rPr>
            </w:pPr>
            <w:r w:rsidRPr="007F0506">
              <w:rPr>
                <w:rFonts w:eastAsia="Calibri" w:cs="Arial"/>
                <w:b/>
                <w:bCs/>
                <w:szCs w:val="24"/>
              </w:rPr>
              <w:t>Financial year</w:t>
            </w:r>
          </w:p>
        </w:tc>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435EFD90" w14:textId="703E3600" w:rsidR="000E2E94" w:rsidRDefault="006B512B" w:rsidP="00E46857">
            <w:pPr>
              <w:spacing w:after="0" w:line="240" w:lineRule="auto"/>
              <w:rPr>
                <w:rFonts w:eastAsia="Calibri" w:cs="Arial"/>
                <w:b/>
                <w:bCs/>
                <w:szCs w:val="24"/>
              </w:rPr>
            </w:pPr>
            <w:r w:rsidRPr="006B512B">
              <w:rPr>
                <w:b/>
                <w:bCs/>
              </w:rPr>
              <w:t>16187</w:t>
            </w:r>
            <w:r w:rsidR="00EC1F82">
              <w:rPr>
                <w:b/>
                <w:bCs/>
              </w:rPr>
              <w:t xml:space="preserve"> (2021)</w:t>
            </w:r>
          </w:p>
          <w:p w14:paraId="01F7E3DA" w14:textId="063C0D16" w:rsidR="00E75D06" w:rsidRPr="007F0506" w:rsidRDefault="00E75D06" w:rsidP="00E46857">
            <w:pPr>
              <w:spacing w:after="0" w:line="240" w:lineRule="auto"/>
              <w:rPr>
                <w:rFonts w:eastAsia="Calibri" w:cs="Arial"/>
                <w:b/>
                <w:bCs/>
                <w:szCs w:val="24"/>
              </w:rPr>
            </w:pPr>
            <w:r>
              <w:t xml:space="preserve">Number of individuals receiving Job Support </w:t>
            </w:r>
            <w:r w:rsidR="00E12939">
              <w:t>f</w:t>
            </w:r>
            <w:r>
              <w:t>unding support</w:t>
            </w:r>
          </w:p>
        </w:tc>
        <w:tc>
          <w:tcPr>
            <w:tcW w:w="3023" w:type="dxa"/>
            <w:tcBorders>
              <w:top w:val="single" w:sz="4" w:space="0" w:color="auto"/>
              <w:left w:val="single" w:sz="4" w:space="0" w:color="auto"/>
              <w:bottom w:val="single" w:sz="4" w:space="0" w:color="auto"/>
              <w:right w:val="single" w:sz="4" w:space="0" w:color="auto"/>
            </w:tcBorders>
            <w:shd w:val="clear" w:color="auto" w:fill="auto"/>
            <w:hideMark/>
          </w:tcPr>
          <w:p w14:paraId="1DECE5C8" w14:textId="56B4C423" w:rsidR="000E2E94" w:rsidRPr="007F0506" w:rsidRDefault="00F4467B" w:rsidP="00E46857">
            <w:pPr>
              <w:spacing w:after="0" w:line="240" w:lineRule="auto"/>
              <w:rPr>
                <w:rFonts w:eastAsia="Calibri" w:cs="Arial"/>
                <w:b/>
                <w:bCs/>
                <w:szCs w:val="24"/>
              </w:rPr>
            </w:pPr>
            <w:r w:rsidRPr="00F4467B">
              <w:rPr>
                <w:b/>
                <w:bCs/>
              </w:rPr>
              <w:t>17439</w:t>
            </w:r>
            <w:r w:rsidR="00EC1F82">
              <w:rPr>
                <w:b/>
                <w:bCs/>
              </w:rPr>
              <w:t xml:space="preserve"> (2022)</w:t>
            </w:r>
          </w:p>
        </w:tc>
      </w:tr>
      <w:tr w:rsidR="000E2E94" w14:paraId="27D67460"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hideMark/>
          </w:tcPr>
          <w:p w14:paraId="12FF526B" w14:textId="77777777" w:rsidR="000E2E94" w:rsidRDefault="000E2E94" w:rsidP="00E46857">
            <w:pPr>
              <w:spacing w:after="0" w:line="240" w:lineRule="auto"/>
              <w:rPr>
                <w:rFonts w:eastAsia="Calibri" w:cs="Arial"/>
                <w:szCs w:val="24"/>
              </w:rPr>
            </w:pPr>
            <w:r>
              <w:rPr>
                <w:rFonts w:eastAsia="Calibri" w:cs="Arial"/>
                <w:szCs w:val="24"/>
              </w:rPr>
              <w:t>2011/12</w:t>
            </w:r>
          </w:p>
        </w:tc>
        <w:tc>
          <w:tcPr>
            <w:tcW w:w="3022" w:type="dxa"/>
            <w:tcBorders>
              <w:top w:val="single" w:sz="4" w:space="0" w:color="auto"/>
              <w:left w:val="single" w:sz="4" w:space="0" w:color="auto"/>
              <w:bottom w:val="single" w:sz="4" w:space="0" w:color="auto"/>
              <w:right w:val="single" w:sz="4" w:space="0" w:color="auto"/>
            </w:tcBorders>
            <w:hideMark/>
          </w:tcPr>
          <w:p w14:paraId="68099BD9" w14:textId="77777777" w:rsidR="000E2E94" w:rsidRDefault="000E2E94" w:rsidP="00E46857">
            <w:pPr>
              <w:spacing w:after="0" w:line="240" w:lineRule="auto"/>
              <w:jc w:val="right"/>
              <w:rPr>
                <w:rFonts w:eastAsia="Calibri" w:cs="Arial"/>
                <w:szCs w:val="24"/>
              </w:rPr>
            </w:pPr>
            <w:r>
              <w:rPr>
                <w:rFonts w:eastAsia="Calibri" w:cs="Arial"/>
                <w:szCs w:val="24"/>
              </w:rPr>
              <w:t>1,518</w:t>
            </w:r>
          </w:p>
        </w:tc>
        <w:tc>
          <w:tcPr>
            <w:tcW w:w="3023" w:type="dxa"/>
            <w:tcBorders>
              <w:top w:val="single" w:sz="4" w:space="0" w:color="auto"/>
              <w:left w:val="single" w:sz="4" w:space="0" w:color="auto"/>
              <w:bottom w:val="single" w:sz="4" w:space="0" w:color="auto"/>
              <w:right w:val="single" w:sz="4" w:space="0" w:color="auto"/>
            </w:tcBorders>
            <w:hideMark/>
          </w:tcPr>
          <w:p w14:paraId="53ACD0E3" w14:textId="77777777" w:rsidR="000E2E94" w:rsidRDefault="000E2E94" w:rsidP="00E46857">
            <w:pPr>
              <w:spacing w:after="0" w:line="240" w:lineRule="auto"/>
              <w:jc w:val="right"/>
              <w:rPr>
                <w:rFonts w:eastAsia="Calibri" w:cs="Arial"/>
                <w:szCs w:val="24"/>
              </w:rPr>
            </w:pPr>
            <w:r>
              <w:rPr>
                <w:rFonts w:eastAsia="Calibri" w:cs="Arial"/>
                <w:szCs w:val="24"/>
              </w:rPr>
              <w:t>-</w:t>
            </w:r>
          </w:p>
        </w:tc>
      </w:tr>
      <w:tr w:rsidR="000E2E94" w14:paraId="4669E344"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hideMark/>
          </w:tcPr>
          <w:p w14:paraId="693B4D88" w14:textId="77777777" w:rsidR="000E2E94" w:rsidRDefault="000E2E94" w:rsidP="00E46857">
            <w:pPr>
              <w:spacing w:after="0" w:line="240" w:lineRule="auto"/>
              <w:rPr>
                <w:rFonts w:eastAsia="Calibri" w:cs="Arial"/>
                <w:szCs w:val="24"/>
              </w:rPr>
            </w:pPr>
            <w:r>
              <w:rPr>
                <w:rFonts w:eastAsia="Calibri" w:cs="Arial"/>
                <w:szCs w:val="24"/>
              </w:rPr>
              <w:t>2012/13</w:t>
            </w:r>
          </w:p>
        </w:tc>
        <w:tc>
          <w:tcPr>
            <w:tcW w:w="3022" w:type="dxa"/>
            <w:tcBorders>
              <w:top w:val="single" w:sz="4" w:space="0" w:color="auto"/>
              <w:left w:val="single" w:sz="4" w:space="0" w:color="auto"/>
              <w:bottom w:val="single" w:sz="4" w:space="0" w:color="auto"/>
              <w:right w:val="single" w:sz="4" w:space="0" w:color="auto"/>
            </w:tcBorders>
            <w:hideMark/>
          </w:tcPr>
          <w:p w14:paraId="231A3F43" w14:textId="77777777" w:rsidR="000E2E94" w:rsidRDefault="000E2E94" w:rsidP="00E46857">
            <w:pPr>
              <w:spacing w:after="0" w:line="240" w:lineRule="auto"/>
              <w:jc w:val="right"/>
              <w:rPr>
                <w:rFonts w:eastAsia="Calibri" w:cs="Arial"/>
                <w:szCs w:val="24"/>
              </w:rPr>
            </w:pPr>
            <w:r>
              <w:rPr>
                <w:rFonts w:eastAsia="Calibri" w:cs="Arial"/>
                <w:szCs w:val="24"/>
              </w:rPr>
              <w:t>1,408</w:t>
            </w:r>
          </w:p>
        </w:tc>
        <w:tc>
          <w:tcPr>
            <w:tcW w:w="3023" w:type="dxa"/>
            <w:tcBorders>
              <w:top w:val="single" w:sz="4" w:space="0" w:color="auto"/>
              <w:left w:val="single" w:sz="4" w:space="0" w:color="auto"/>
              <w:bottom w:val="single" w:sz="4" w:space="0" w:color="auto"/>
              <w:right w:val="single" w:sz="4" w:space="0" w:color="auto"/>
            </w:tcBorders>
            <w:hideMark/>
          </w:tcPr>
          <w:p w14:paraId="40F9B38C" w14:textId="77777777" w:rsidR="000E2E94" w:rsidRDefault="000E2E94" w:rsidP="00E46857">
            <w:pPr>
              <w:spacing w:after="0" w:line="240" w:lineRule="auto"/>
              <w:jc w:val="right"/>
              <w:rPr>
                <w:rFonts w:eastAsia="Calibri" w:cs="Arial"/>
                <w:szCs w:val="24"/>
              </w:rPr>
            </w:pPr>
            <w:r>
              <w:rPr>
                <w:rFonts w:eastAsia="Calibri" w:cs="Arial"/>
                <w:szCs w:val="24"/>
              </w:rPr>
              <w:t>1,677</w:t>
            </w:r>
          </w:p>
        </w:tc>
      </w:tr>
      <w:tr w:rsidR="000E2E94" w14:paraId="697AA91A"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hideMark/>
          </w:tcPr>
          <w:p w14:paraId="674086A3" w14:textId="77777777" w:rsidR="000E2E94" w:rsidRDefault="000E2E94" w:rsidP="00E46857">
            <w:pPr>
              <w:spacing w:after="0" w:line="240" w:lineRule="auto"/>
              <w:rPr>
                <w:rFonts w:eastAsia="Calibri" w:cs="Arial"/>
                <w:szCs w:val="24"/>
              </w:rPr>
            </w:pPr>
            <w:r>
              <w:rPr>
                <w:rFonts w:eastAsia="Calibri" w:cs="Arial"/>
                <w:szCs w:val="24"/>
              </w:rPr>
              <w:t>2013/14</w:t>
            </w:r>
          </w:p>
        </w:tc>
        <w:tc>
          <w:tcPr>
            <w:tcW w:w="3022" w:type="dxa"/>
            <w:tcBorders>
              <w:top w:val="single" w:sz="4" w:space="0" w:color="auto"/>
              <w:left w:val="single" w:sz="4" w:space="0" w:color="auto"/>
              <w:bottom w:val="single" w:sz="4" w:space="0" w:color="auto"/>
              <w:right w:val="single" w:sz="4" w:space="0" w:color="auto"/>
            </w:tcBorders>
            <w:hideMark/>
          </w:tcPr>
          <w:p w14:paraId="3179FA60" w14:textId="77777777" w:rsidR="000E2E94" w:rsidRDefault="000E2E94" w:rsidP="00E46857">
            <w:pPr>
              <w:spacing w:after="0" w:line="240" w:lineRule="auto"/>
              <w:jc w:val="right"/>
              <w:rPr>
                <w:rFonts w:eastAsia="Calibri" w:cs="Arial"/>
                <w:szCs w:val="24"/>
              </w:rPr>
            </w:pPr>
            <w:r>
              <w:rPr>
                <w:rFonts w:eastAsia="Calibri" w:cs="Arial"/>
                <w:szCs w:val="24"/>
              </w:rPr>
              <w:t>1,242</w:t>
            </w:r>
          </w:p>
        </w:tc>
        <w:tc>
          <w:tcPr>
            <w:tcW w:w="3023" w:type="dxa"/>
            <w:tcBorders>
              <w:top w:val="single" w:sz="4" w:space="0" w:color="auto"/>
              <w:left w:val="single" w:sz="4" w:space="0" w:color="auto"/>
              <w:bottom w:val="single" w:sz="4" w:space="0" w:color="auto"/>
              <w:right w:val="single" w:sz="4" w:space="0" w:color="auto"/>
            </w:tcBorders>
            <w:hideMark/>
          </w:tcPr>
          <w:p w14:paraId="2F870294" w14:textId="77777777" w:rsidR="000E2E94" w:rsidRDefault="000E2E94" w:rsidP="00E46857">
            <w:pPr>
              <w:spacing w:after="0" w:line="240" w:lineRule="auto"/>
              <w:jc w:val="right"/>
              <w:rPr>
                <w:rFonts w:eastAsia="Calibri" w:cs="Arial"/>
                <w:szCs w:val="24"/>
              </w:rPr>
            </w:pPr>
            <w:r>
              <w:rPr>
                <w:rFonts w:eastAsia="Calibri" w:cs="Arial"/>
                <w:szCs w:val="24"/>
              </w:rPr>
              <w:t>1,185</w:t>
            </w:r>
          </w:p>
        </w:tc>
      </w:tr>
      <w:tr w:rsidR="000E2E94" w14:paraId="32DEA195"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hideMark/>
          </w:tcPr>
          <w:p w14:paraId="21B63346" w14:textId="77777777" w:rsidR="000E2E94" w:rsidRDefault="000E2E94" w:rsidP="00E46857">
            <w:pPr>
              <w:spacing w:after="0" w:line="240" w:lineRule="auto"/>
              <w:rPr>
                <w:rFonts w:eastAsia="Calibri" w:cs="Arial"/>
                <w:szCs w:val="24"/>
              </w:rPr>
            </w:pPr>
            <w:r>
              <w:rPr>
                <w:rFonts w:eastAsia="Calibri" w:cs="Arial"/>
                <w:szCs w:val="24"/>
              </w:rPr>
              <w:t>2014/15</w:t>
            </w:r>
          </w:p>
        </w:tc>
        <w:tc>
          <w:tcPr>
            <w:tcW w:w="3022" w:type="dxa"/>
            <w:tcBorders>
              <w:top w:val="single" w:sz="4" w:space="0" w:color="auto"/>
              <w:left w:val="single" w:sz="4" w:space="0" w:color="auto"/>
              <w:bottom w:val="single" w:sz="4" w:space="0" w:color="auto"/>
              <w:right w:val="single" w:sz="4" w:space="0" w:color="auto"/>
            </w:tcBorders>
            <w:hideMark/>
          </w:tcPr>
          <w:p w14:paraId="65D9BC53" w14:textId="77777777" w:rsidR="000E2E94" w:rsidRDefault="000E2E94" w:rsidP="00E46857">
            <w:pPr>
              <w:spacing w:after="0" w:line="240" w:lineRule="auto"/>
              <w:jc w:val="right"/>
              <w:rPr>
                <w:rFonts w:eastAsia="Calibri" w:cs="Arial"/>
                <w:szCs w:val="24"/>
              </w:rPr>
            </w:pPr>
            <w:r>
              <w:rPr>
                <w:rFonts w:eastAsia="Calibri" w:cs="Arial"/>
                <w:szCs w:val="24"/>
              </w:rPr>
              <w:t>1,241</w:t>
            </w:r>
          </w:p>
        </w:tc>
        <w:tc>
          <w:tcPr>
            <w:tcW w:w="3023" w:type="dxa"/>
            <w:tcBorders>
              <w:top w:val="single" w:sz="4" w:space="0" w:color="auto"/>
              <w:left w:val="single" w:sz="4" w:space="0" w:color="auto"/>
              <w:bottom w:val="single" w:sz="4" w:space="0" w:color="auto"/>
              <w:right w:val="single" w:sz="4" w:space="0" w:color="auto"/>
            </w:tcBorders>
            <w:hideMark/>
          </w:tcPr>
          <w:p w14:paraId="6D1AA952" w14:textId="77777777" w:rsidR="000E2E94" w:rsidRDefault="000E2E94" w:rsidP="00E46857">
            <w:pPr>
              <w:spacing w:after="0" w:line="240" w:lineRule="auto"/>
              <w:jc w:val="right"/>
              <w:rPr>
                <w:rFonts w:eastAsia="Calibri" w:cs="Arial"/>
                <w:szCs w:val="24"/>
              </w:rPr>
            </w:pPr>
            <w:r>
              <w:rPr>
                <w:rFonts w:cs="Arial"/>
                <w:szCs w:val="24"/>
              </w:rPr>
              <w:t>1,575</w:t>
            </w:r>
          </w:p>
        </w:tc>
      </w:tr>
      <w:tr w:rsidR="000E2E94" w14:paraId="4CD2C704"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hideMark/>
          </w:tcPr>
          <w:p w14:paraId="21E98F19" w14:textId="77777777" w:rsidR="000E2E94" w:rsidRDefault="000E2E94" w:rsidP="00E46857">
            <w:pPr>
              <w:spacing w:after="0" w:line="240" w:lineRule="auto"/>
              <w:rPr>
                <w:rFonts w:eastAsia="Calibri" w:cs="Arial"/>
                <w:szCs w:val="24"/>
              </w:rPr>
            </w:pPr>
            <w:r>
              <w:rPr>
                <w:rFonts w:eastAsia="Calibri" w:cs="Arial"/>
                <w:szCs w:val="24"/>
              </w:rPr>
              <w:t>2015/16</w:t>
            </w:r>
          </w:p>
        </w:tc>
        <w:tc>
          <w:tcPr>
            <w:tcW w:w="3022" w:type="dxa"/>
            <w:tcBorders>
              <w:top w:val="single" w:sz="4" w:space="0" w:color="auto"/>
              <w:left w:val="single" w:sz="4" w:space="0" w:color="auto"/>
              <w:bottom w:val="single" w:sz="4" w:space="0" w:color="auto"/>
              <w:right w:val="single" w:sz="4" w:space="0" w:color="auto"/>
            </w:tcBorders>
            <w:hideMark/>
          </w:tcPr>
          <w:p w14:paraId="18236DE1" w14:textId="77777777" w:rsidR="000E2E94" w:rsidRDefault="000E2E94" w:rsidP="00E46857">
            <w:pPr>
              <w:spacing w:after="0" w:line="240" w:lineRule="auto"/>
              <w:jc w:val="right"/>
              <w:rPr>
                <w:rFonts w:eastAsia="Calibri" w:cs="Arial"/>
                <w:szCs w:val="24"/>
              </w:rPr>
            </w:pPr>
            <w:r>
              <w:rPr>
                <w:rFonts w:eastAsia="Calibri" w:cs="Arial"/>
                <w:szCs w:val="24"/>
              </w:rPr>
              <w:t>1,140</w:t>
            </w:r>
          </w:p>
        </w:tc>
        <w:tc>
          <w:tcPr>
            <w:tcW w:w="3023" w:type="dxa"/>
            <w:tcBorders>
              <w:top w:val="single" w:sz="4" w:space="0" w:color="auto"/>
              <w:left w:val="single" w:sz="4" w:space="0" w:color="auto"/>
              <w:bottom w:val="single" w:sz="4" w:space="0" w:color="auto"/>
              <w:right w:val="single" w:sz="4" w:space="0" w:color="auto"/>
            </w:tcBorders>
            <w:hideMark/>
          </w:tcPr>
          <w:p w14:paraId="223B0245" w14:textId="77777777" w:rsidR="000E2E94" w:rsidRDefault="000E2E94" w:rsidP="00E46857">
            <w:pPr>
              <w:spacing w:after="0" w:line="240" w:lineRule="auto"/>
              <w:jc w:val="right"/>
              <w:rPr>
                <w:rFonts w:eastAsia="Calibri" w:cs="Arial"/>
                <w:szCs w:val="24"/>
              </w:rPr>
            </w:pPr>
            <w:r>
              <w:rPr>
                <w:rFonts w:cs="Arial"/>
                <w:szCs w:val="24"/>
              </w:rPr>
              <w:t>1,476</w:t>
            </w:r>
          </w:p>
        </w:tc>
      </w:tr>
      <w:tr w:rsidR="000E2E94" w14:paraId="5F16745B"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hideMark/>
          </w:tcPr>
          <w:p w14:paraId="4D29B5E6" w14:textId="77777777" w:rsidR="000E2E94" w:rsidRDefault="000E2E94" w:rsidP="00E46857">
            <w:pPr>
              <w:spacing w:after="0" w:line="240" w:lineRule="auto"/>
              <w:rPr>
                <w:rFonts w:eastAsia="Calibri" w:cs="Arial"/>
                <w:szCs w:val="24"/>
              </w:rPr>
            </w:pPr>
            <w:r>
              <w:rPr>
                <w:rFonts w:eastAsia="Calibri" w:cs="Arial"/>
                <w:szCs w:val="24"/>
              </w:rPr>
              <w:t>2016/17</w:t>
            </w:r>
          </w:p>
        </w:tc>
        <w:tc>
          <w:tcPr>
            <w:tcW w:w="3022" w:type="dxa"/>
            <w:tcBorders>
              <w:top w:val="single" w:sz="4" w:space="0" w:color="auto"/>
              <w:left w:val="single" w:sz="4" w:space="0" w:color="auto"/>
              <w:bottom w:val="single" w:sz="4" w:space="0" w:color="auto"/>
              <w:right w:val="single" w:sz="4" w:space="0" w:color="auto"/>
            </w:tcBorders>
            <w:hideMark/>
          </w:tcPr>
          <w:p w14:paraId="54342367" w14:textId="77777777" w:rsidR="000E2E94" w:rsidRDefault="000E2E94" w:rsidP="00E46857">
            <w:pPr>
              <w:spacing w:after="0" w:line="240" w:lineRule="auto"/>
              <w:jc w:val="right"/>
              <w:rPr>
                <w:rFonts w:eastAsia="Calibri" w:cs="Arial"/>
                <w:szCs w:val="24"/>
              </w:rPr>
            </w:pPr>
            <w:r>
              <w:rPr>
                <w:rFonts w:eastAsia="Calibri" w:cs="Arial"/>
                <w:szCs w:val="24"/>
              </w:rPr>
              <w:t>1,065</w:t>
            </w:r>
          </w:p>
        </w:tc>
        <w:tc>
          <w:tcPr>
            <w:tcW w:w="3023" w:type="dxa"/>
            <w:tcBorders>
              <w:top w:val="single" w:sz="4" w:space="0" w:color="auto"/>
              <w:left w:val="single" w:sz="4" w:space="0" w:color="auto"/>
              <w:bottom w:val="single" w:sz="4" w:space="0" w:color="auto"/>
              <w:right w:val="single" w:sz="4" w:space="0" w:color="auto"/>
            </w:tcBorders>
            <w:hideMark/>
          </w:tcPr>
          <w:p w14:paraId="6F3F0101" w14:textId="77777777" w:rsidR="000E2E94" w:rsidRDefault="000E2E94" w:rsidP="00E46857">
            <w:pPr>
              <w:spacing w:after="0" w:line="240" w:lineRule="auto"/>
              <w:jc w:val="right"/>
              <w:rPr>
                <w:rFonts w:eastAsia="Calibri" w:cs="Arial"/>
                <w:szCs w:val="24"/>
              </w:rPr>
            </w:pPr>
            <w:r>
              <w:rPr>
                <w:rFonts w:cs="Arial"/>
                <w:szCs w:val="24"/>
              </w:rPr>
              <w:t>1,341</w:t>
            </w:r>
          </w:p>
        </w:tc>
      </w:tr>
      <w:tr w:rsidR="000E2E94" w14:paraId="61C006E9" w14:textId="77777777" w:rsidTr="00E46857">
        <w:trPr>
          <w:trHeight w:val="278"/>
        </w:trPr>
        <w:tc>
          <w:tcPr>
            <w:tcW w:w="3022" w:type="dxa"/>
            <w:tcBorders>
              <w:top w:val="single" w:sz="4" w:space="0" w:color="auto"/>
              <w:left w:val="single" w:sz="4" w:space="0" w:color="auto"/>
              <w:bottom w:val="single" w:sz="4" w:space="0" w:color="auto"/>
              <w:right w:val="single" w:sz="4" w:space="0" w:color="auto"/>
            </w:tcBorders>
            <w:hideMark/>
          </w:tcPr>
          <w:p w14:paraId="7B7A9D99" w14:textId="77777777" w:rsidR="000E2E94" w:rsidRDefault="000E2E94" w:rsidP="00E46857">
            <w:pPr>
              <w:spacing w:after="0" w:line="240" w:lineRule="auto"/>
              <w:rPr>
                <w:rFonts w:eastAsia="Calibri" w:cs="Arial"/>
                <w:szCs w:val="24"/>
              </w:rPr>
            </w:pPr>
            <w:r>
              <w:rPr>
                <w:rFonts w:eastAsia="Calibri" w:cs="Arial"/>
                <w:szCs w:val="24"/>
              </w:rPr>
              <w:t>2017/18</w:t>
            </w:r>
          </w:p>
        </w:tc>
        <w:tc>
          <w:tcPr>
            <w:tcW w:w="3022" w:type="dxa"/>
            <w:tcBorders>
              <w:top w:val="single" w:sz="4" w:space="0" w:color="auto"/>
              <w:left w:val="single" w:sz="4" w:space="0" w:color="auto"/>
              <w:bottom w:val="single" w:sz="4" w:space="0" w:color="auto"/>
              <w:right w:val="single" w:sz="4" w:space="0" w:color="auto"/>
            </w:tcBorders>
            <w:hideMark/>
          </w:tcPr>
          <w:p w14:paraId="29FCEEEB" w14:textId="77777777" w:rsidR="000E2E94" w:rsidRDefault="000E2E94" w:rsidP="00E46857">
            <w:pPr>
              <w:spacing w:after="0" w:line="240" w:lineRule="auto"/>
              <w:jc w:val="right"/>
              <w:rPr>
                <w:rFonts w:eastAsia="Calibri" w:cs="Arial"/>
                <w:szCs w:val="24"/>
              </w:rPr>
            </w:pPr>
            <w:r>
              <w:rPr>
                <w:rFonts w:eastAsia="Calibri" w:cs="Arial"/>
                <w:szCs w:val="24"/>
              </w:rPr>
              <w:t>1,156</w:t>
            </w:r>
          </w:p>
        </w:tc>
        <w:tc>
          <w:tcPr>
            <w:tcW w:w="3023" w:type="dxa"/>
            <w:tcBorders>
              <w:top w:val="single" w:sz="4" w:space="0" w:color="auto"/>
              <w:left w:val="single" w:sz="4" w:space="0" w:color="auto"/>
              <w:bottom w:val="single" w:sz="4" w:space="0" w:color="auto"/>
              <w:right w:val="single" w:sz="4" w:space="0" w:color="auto"/>
            </w:tcBorders>
            <w:hideMark/>
          </w:tcPr>
          <w:p w14:paraId="67667C6B" w14:textId="77777777" w:rsidR="000E2E94" w:rsidRDefault="000E2E94" w:rsidP="00E46857">
            <w:pPr>
              <w:spacing w:after="0" w:line="240" w:lineRule="auto"/>
              <w:jc w:val="right"/>
              <w:rPr>
                <w:rFonts w:eastAsia="Calibri" w:cs="Arial"/>
                <w:szCs w:val="24"/>
              </w:rPr>
            </w:pPr>
            <w:r>
              <w:rPr>
                <w:rFonts w:cs="Arial"/>
                <w:szCs w:val="24"/>
              </w:rPr>
              <w:t>1,446</w:t>
            </w:r>
          </w:p>
        </w:tc>
      </w:tr>
      <w:tr w:rsidR="000E2E94" w14:paraId="45C12778"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hideMark/>
          </w:tcPr>
          <w:p w14:paraId="1ED60405" w14:textId="77777777" w:rsidR="000E2E94" w:rsidRDefault="000E2E94" w:rsidP="00E46857">
            <w:pPr>
              <w:spacing w:after="0" w:line="240" w:lineRule="auto"/>
              <w:rPr>
                <w:rFonts w:eastAsia="Calibri" w:cs="Arial"/>
                <w:szCs w:val="24"/>
              </w:rPr>
            </w:pPr>
            <w:r>
              <w:rPr>
                <w:rFonts w:eastAsia="Calibri" w:cs="Arial"/>
                <w:szCs w:val="24"/>
              </w:rPr>
              <w:t>2018/19</w:t>
            </w:r>
          </w:p>
        </w:tc>
        <w:tc>
          <w:tcPr>
            <w:tcW w:w="3022" w:type="dxa"/>
            <w:tcBorders>
              <w:top w:val="single" w:sz="4" w:space="0" w:color="auto"/>
              <w:left w:val="single" w:sz="4" w:space="0" w:color="auto"/>
              <w:bottom w:val="single" w:sz="4" w:space="0" w:color="auto"/>
              <w:right w:val="single" w:sz="4" w:space="0" w:color="auto"/>
            </w:tcBorders>
            <w:hideMark/>
          </w:tcPr>
          <w:p w14:paraId="1364F276" w14:textId="77777777" w:rsidR="000E2E94" w:rsidRDefault="000E2E94" w:rsidP="00E46857">
            <w:pPr>
              <w:spacing w:after="0" w:line="240" w:lineRule="auto"/>
              <w:jc w:val="right"/>
              <w:rPr>
                <w:rFonts w:eastAsia="Calibri" w:cs="Arial"/>
                <w:szCs w:val="24"/>
              </w:rPr>
            </w:pPr>
            <w:r>
              <w:rPr>
                <w:rFonts w:eastAsia="Calibri" w:cs="Arial"/>
                <w:szCs w:val="24"/>
              </w:rPr>
              <w:t>1,051</w:t>
            </w:r>
          </w:p>
        </w:tc>
        <w:tc>
          <w:tcPr>
            <w:tcW w:w="3023" w:type="dxa"/>
            <w:tcBorders>
              <w:top w:val="single" w:sz="4" w:space="0" w:color="auto"/>
              <w:left w:val="single" w:sz="4" w:space="0" w:color="auto"/>
              <w:bottom w:val="single" w:sz="4" w:space="0" w:color="auto"/>
              <w:right w:val="single" w:sz="4" w:space="0" w:color="auto"/>
            </w:tcBorders>
            <w:hideMark/>
          </w:tcPr>
          <w:p w14:paraId="22B646A7" w14:textId="77777777" w:rsidR="000E2E94" w:rsidRDefault="000E2E94" w:rsidP="00E46857">
            <w:pPr>
              <w:spacing w:after="0" w:line="240" w:lineRule="auto"/>
              <w:jc w:val="right"/>
              <w:rPr>
                <w:rFonts w:eastAsia="Calibri" w:cs="Arial"/>
                <w:szCs w:val="24"/>
              </w:rPr>
            </w:pPr>
            <w:r>
              <w:rPr>
                <w:rFonts w:cs="Arial"/>
                <w:szCs w:val="24"/>
              </w:rPr>
              <w:t>1,272</w:t>
            </w:r>
          </w:p>
        </w:tc>
      </w:tr>
      <w:tr w:rsidR="000E2E94" w14:paraId="1DA56596"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hideMark/>
          </w:tcPr>
          <w:p w14:paraId="1E140648" w14:textId="77777777" w:rsidR="000E2E94" w:rsidRDefault="000E2E94" w:rsidP="00E46857">
            <w:pPr>
              <w:spacing w:after="0" w:line="240" w:lineRule="auto"/>
              <w:rPr>
                <w:rFonts w:eastAsia="Calibri" w:cs="Arial"/>
                <w:szCs w:val="24"/>
              </w:rPr>
            </w:pPr>
            <w:r>
              <w:rPr>
                <w:rFonts w:eastAsia="Calibri" w:cs="Arial"/>
                <w:szCs w:val="24"/>
              </w:rPr>
              <w:t>2019/20</w:t>
            </w:r>
          </w:p>
        </w:tc>
        <w:tc>
          <w:tcPr>
            <w:tcW w:w="3022" w:type="dxa"/>
            <w:tcBorders>
              <w:top w:val="single" w:sz="4" w:space="0" w:color="auto"/>
              <w:left w:val="single" w:sz="4" w:space="0" w:color="auto"/>
              <w:bottom w:val="single" w:sz="4" w:space="0" w:color="auto"/>
              <w:right w:val="single" w:sz="4" w:space="0" w:color="auto"/>
            </w:tcBorders>
            <w:hideMark/>
          </w:tcPr>
          <w:p w14:paraId="0141A9EA" w14:textId="77777777" w:rsidR="000E2E94" w:rsidRDefault="000E2E94" w:rsidP="00E46857">
            <w:pPr>
              <w:spacing w:after="0" w:line="240" w:lineRule="auto"/>
              <w:jc w:val="right"/>
              <w:rPr>
                <w:rFonts w:eastAsia="Calibri" w:cs="Arial"/>
                <w:szCs w:val="24"/>
              </w:rPr>
            </w:pPr>
            <w:r>
              <w:rPr>
                <w:rFonts w:eastAsia="Calibri" w:cs="Arial"/>
                <w:szCs w:val="24"/>
              </w:rPr>
              <w:t>950</w:t>
            </w:r>
          </w:p>
        </w:tc>
        <w:tc>
          <w:tcPr>
            <w:tcW w:w="3023" w:type="dxa"/>
            <w:tcBorders>
              <w:top w:val="single" w:sz="4" w:space="0" w:color="auto"/>
              <w:left w:val="single" w:sz="4" w:space="0" w:color="auto"/>
              <w:bottom w:val="single" w:sz="4" w:space="0" w:color="auto"/>
              <w:right w:val="single" w:sz="4" w:space="0" w:color="auto"/>
            </w:tcBorders>
            <w:hideMark/>
          </w:tcPr>
          <w:p w14:paraId="4F201A7F" w14:textId="77777777" w:rsidR="000E2E94" w:rsidRDefault="000E2E94" w:rsidP="00E46857">
            <w:pPr>
              <w:spacing w:after="0" w:line="240" w:lineRule="auto"/>
              <w:jc w:val="right"/>
              <w:rPr>
                <w:rFonts w:eastAsia="Calibri" w:cs="Arial"/>
                <w:szCs w:val="24"/>
              </w:rPr>
            </w:pPr>
            <w:r>
              <w:rPr>
                <w:rFonts w:cs="Arial"/>
                <w:szCs w:val="24"/>
              </w:rPr>
              <w:t>1,143</w:t>
            </w:r>
          </w:p>
        </w:tc>
      </w:tr>
      <w:tr w:rsidR="000E2E94" w14:paraId="539BF67B"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hideMark/>
          </w:tcPr>
          <w:p w14:paraId="6D36FC90" w14:textId="5DED99F0" w:rsidR="000E2E94" w:rsidRDefault="000E2E94" w:rsidP="00E46857">
            <w:pPr>
              <w:spacing w:after="0" w:line="240" w:lineRule="auto"/>
              <w:rPr>
                <w:rFonts w:eastAsia="Calibri" w:cs="Arial"/>
                <w:szCs w:val="24"/>
              </w:rPr>
            </w:pPr>
            <w:r>
              <w:rPr>
                <w:rFonts w:eastAsia="Calibri" w:cs="Arial"/>
                <w:szCs w:val="24"/>
              </w:rPr>
              <w:t xml:space="preserve">2020/21 </w:t>
            </w:r>
            <w:r w:rsidR="006A4AA0">
              <w:rPr>
                <w:rFonts w:eastAsia="Calibri" w:cs="Arial"/>
                <w:szCs w:val="24"/>
              </w:rPr>
              <w:t>*as at 31/3/21</w:t>
            </w:r>
          </w:p>
        </w:tc>
        <w:tc>
          <w:tcPr>
            <w:tcW w:w="3022" w:type="dxa"/>
            <w:tcBorders>
              <w:top w:val="single" w:sz="4" w:space="0" w:color="auto"/>
              <w:left w:val="single" w:sz="4" w:space="0" w:color="auto"/>
              <w:bottom w:val="single" w:sz="4" w:space="0" w:color="auto"/>
              <w:right w:val="single" w:sz="4" w:space="0" w:color="auto"/>
            </w:tcBorders>
            <w:hideMark/>
          </w:tcPr>
          <w:p w14:paraId="71840EAE" w14:textId="77777777" w:rsidR="000E2E94" w:rsidRDefault="000E2E94" w:rsidP="00E46857">
            <w:pPr>
              <w:spacing w:after="0" w:line="240" w:lineRule="auto"/>
              <w:jc w:val="right"/>
              <w:rPr>
                <w:rFonts w:eastAsia="Calibri" w:cs="Arial"/>
                <w:szCs w:val="24"/>
              </w:rPr>
            </w:pPr>
            <w:r>
              <w:rPr>
                <w:rFonts w:eastAsia="Calibri" w:cs="Arial"/>
                <w:szCs w:val="24"/>
              </w:rPr>
              <w:t xml:space="preserve">*721 </w:t>
            </w:r>
          </w:p>
        </w:tc>
        <w:tc>
          <w:tcPr>
            <w:tcW w:w="3023" w:type="dxa"/>
            <w:tcBorders>
              <w:top w:val="single" w:sz="4" w:space="0" w:color="auto"/>
              <w:left w:val="single" w:sz="4" w:space="0" w:color="auto"/>
              <w:bottom w:val="single" w:sz="4" w:space="0" w:color="auto"/>
              <w:right w:val="single" w:sz="4" w:space="0" w:color="auto"/>
            </w:tcBorders>
            <w:hideMark/>
          </w:tcPr>
          <w:p w14:paraId="7234187A" w14:textId="4B2C17EF" w:rsidR="000E2E94" w:rsidRDefault="00601A09" w:rsidP="00E46857">
            <w:pPr>
              <w:spacing w:after="0" w:line="240" w:lineRule="auto"/>
              <w:jc w:val="right"/>
              <w:rPr>
                <w:rFonts w:eastAsia="Calibri" w:cs="Arial"/>
                <w:szCs w:val="24"/>
              </w:rPr>
            </w:pPr>
            <w:r>
              <w:rPr>
                <w:rFonts w:cs="Arial"/>
                <w:szCs w:val="24"/>
              </w:rPr>
              <w:t xml:space="preserve"> </w:t>
            </w:r>
            <w:r w:rsidR="000E2E94">
              <w:rPr>
                <w:rFonts w:cs="Arial"/>
                <w:szCs w:val="24"/>
              </w:rPr>
              <w:t>933</w:t>
            </w:r>
          </w:p>
        </w:tc>
      </w:tr>
      <w:tr w:rsidR="000E2E94" w14:paraId="15C23AEE"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hideMark/>
          </w:tcPr>
          <w:p w14:paraId="214BB7C2" w14:textId="2292EC19" w:rsidR="000E2E94" w:rsidRDefault="000E2E94" w:rsidP="00E46857">
            <w:pPr>
              <w:spacing w:after="0" w:line="240" w:lineRule="auto"/>
              <w:rPr>
                <w:rFonts w:eastAsia="Calibri" w:cs="Arial"/>
                <w:szCs w:val="24"/>
              </w:rPr>
            </w:pPr>
            <w:r>
              <w:rPr>
                <w:rFonts w:eastAsia="Calibri" w:cs="Arial"/>
                <w:szCs w:val="24"/>
              </w:rPr>
              <w:t>2021/22</w:t>
            </w:r>
            <w:r w:rsidR="00601A09">
              <w:rPr>
                <w:rFonts w:eastAsia="Calibri" w:cs="Arial"/>
                <w:szCs w:val="24"/>
              </w:rPr>
              <w:t xml:space="preserve"> </w:t>
            </w:r>
            <w:r w:rsidR="00104396">
              <w:rPr>
                <w:rFonts w:eastAsia="Calibri" w:cs="Arial"/>
                <w:szCs w:val="24"/>
              </w:rPr>
              <w:t>*</w:t>
            </w:r>
            <w:r w:rsidR="00601A09">
              <w:rPr>
                <w:rFonts w:eastAsia="Calibri" w:cs="Arial"/>
                <w:szCs w:val="24"/>
              </w:rPr>
              <w:t>as at 31/3/2</w:t>
            </w:r>
            <w:r w:rsidR="006A4AA0">
              <w:rPr>
                <w:rFonts w:eastAsia="Calibri" w:cs="Arial"/>
                <w:szCs w:val="24"/>
              </w:rPr>
              <w:t>2</w:t>
            </w:r>
          </w:p>
        </w:tc>
        <w:tc>
          <w:tcPr>
            <w:tcW w:w="3022" w:type="dxa"/>
            <w:tcBorders>
              <w:top w:val="single" w:sz="4" w:space="0" w:color="auto"/>
              <w:left w:val="single" w:sz="4" w:space="0" w:color="auto"/>
              <w:bottom w:val="single" w:sz="4" w:space="0" w:color="auto"/>
              <w:right w:val="single" w:sz="4" w:space="0" w:color="auto"/>
            </w:tcBorders>
            <w:hideMark/>
          </w:tcPr>
          <w:p w14:paraId="70D5569B" w14:textId="77777777" w:rsidR="000E2E94" w:rsidRDefault="000E2E94" w:rsidP="00E46857">
            <w:pPr>
              <w:spacing w:after="0" w:line="240" w:lineRule="auto"/>
              <w:jc w:val="right"/>
              <w:rPr>
                <w:rFonts w:eastAsia="Calibri" w:cs="Arial"/>
                <w:szCs w:val="24"/>
              </w:rPr>
            </w:pPr>
            <w:r>
              <w:rPr>
                <w:rFonts w:eastAsia="Calibri" w:cs="Arial"/>
                <w:szCs w:val="24"/>
              </w:rPr>
              <w:t>-</w:t>
            </w:r>
          </w:p>
        </w:tc>
        <w:tc>
          <w:tcPr>
            <w:tcW w:w="3023" w:type="dxa"/>
            <w:tcBorders>
              <w:top w:val="single" w:sz="4" w:space="0" w:color="auto"/>
              <w:left w:val="single" w:sz="4" w:space="0" w:color="auto"/>
              <w:bottom w:val="single" w:sz="4" w:space="0" w:color="auto"/>
              <w:right w:val="single" w:sz="4" w:space="0" w:color="auto"/>
            </w:tcBorders>
            <w:hideMark/>
          </w:tcPr>
          <w:p w14:paraId="43685CF0" w14:textId="4434EA24" w:rsidR="000E2E94" w:rsidRDefault="00104396" w:rsidP="00E46857">
            <w:pPr>
              <w:spacing w:after="0" w:line="240" w:lineRule="auto"/>
              <w:jc w:val="right"/>
              <w:rPr>
                <w:rFonts w:cs="Arial"/>
                <w:szCs w:val="24"/>
              </w:rPr>
            </w:pPr>
            <w:r>
              <w:rPr>
                <w:rFonts w:cs="Arial"/>
                <w:szCs w:val="24"/>
              </w:rPr>
              <w:t>*</w:t>
            </w:r>
            <w:r w:rsidR="000E2E94">
              <w:rPr>
                <w:rFonts w:cs="Arial"/>
                <w:szCs w:val="24"/>
              </w:rPr>
              <w:t>795</w:t>
            </w:r>
          </w:p>
        </w:tc>
      </w:tr>
    </w:tbl>
    <w:p w14:paraId="5ED175DD" w14:textId="77777777" w:rsidR="00202BD5" w:rsidRDefault="00202BD5" w:rsidP="00202BD5">
      <w:bookmarkStart w:id="313" w:name="_Toc132543872"/>
    </w:p>
    <w:p w14:paraId="5C91F2D0" w14:textId="6410426F" w:rsidR="00104396" w:rsidRPr="0092799B" w:rsidRDefault="0092799B" w:rsidP="0092799B">
      <w:pPr>
        <w:pStyle w:val="Heading3"/>
      </w:pPr>
      <w:bookmarkStart w:id="314" w:name="_Toc133076293"/>
      <w:r w:rsidRPr="0092799B">
        <w:lastRenderedPageBreak/>
        <w:t>Parliamentary</w:t>
      </w:r>
      <w:r>
        <w:t xml:space="preserve"> Written Question </w:t>
      </w:r>
      <w:r w:rsidRPr="006D3A1E">
        <w:t>16187</w:t>
      </w:r>
      <w:r>
        <w:t xml:space="preserve"> (2021</w:t>
      </w:r>
      <w:r w:rsidRPr="006D3A1E">
        <w:t>)</w:t>
      </w:r>
      <w:r>
        <w:t xml:space="preserve"> v</w:t>
      </w:r>
      <w:r w:rsidR="00DC7A82">
        <w:t>s.</w:t>
      </w:r>
      <w:r>
        <w:t xml:space="preserve"> 17440 (2022)</w:t>
      </w:r>
      <w:bookmarkEnd w:id="314"/>
    </w:p>
    <w:p w14:paraId="66F9CB6E" w14:textId="3E6ABB0D" w:rsidR="000E2E94" w:rsidRPr="006A4AA0" w:rsidRDefault="006A4AA0" w:rsidP="00BE397F">
      <w:pPr>
        <w:pStyle w:val="Caption"/>
        <w:rPr>
          <w:b w:val="0"/>
          <w:bCs/>
        </w:rPr>
      </w:pPr>
      <w:r>
        <w:t xml:space="preserve">Table 2: (16187) the number of individuals who have received Job Support </w:t>
      </w:r>
      <w:r w:rsidR="00E12939">
        <w:t>f</w:t>
      </w:r>
      <w:r>
        <w:t>unds each year since the financial year 2011/12</w:t>
      </w:r>
      <w:r w:rsidR="008E4B78">
        <w:t xml:space="preserve"> (including number of applications)</w:t>
      </w:r>
      <w:r>
        <w:t>;</w:t>
      </w:r>
      <w:r w:rsidRPr="006A4AA0">
        <w:rPr>
          <w:rStyle w:val="EndnoteReference"/>
          <w:b w:val="0"/>
          <w:bCs/>
        </w:rPr>
        <w:t xml:space="preserve"> </w:t>
      </w:r>
      <w:r>
        <w:rPr>
          <w:rStyle w:val="EndnoteReference"/>
          <w:b w:val="0"/>
          <w:bCs/>
        </w:rPr>
        <w:endnoteReference w:id="55"/>
      </w:r>
      <w:r>
        <w:t xml:space="preserve"> </w:t>
      </w:r>
      <w:r w:rsidR="001F7E45">
        <w:t xml:space="preserve">alongside </w:t>
      </w:r>
      <w:r>
        <w:t>(17440) the number of applications for Job Support funding received by the Ministry of Social Development each year for the last ten years.</w:t>
      </w:r>
      <w:r>
        <w:rPr>
          <w:rStyle w:val="EndnoteReference"/>
          <w:rFonts w:eastAsia="Calibri" w:cs="Arial"/>
          <w:b w:val="0"/>
          <w:bCs/>
          <w:szCs w:val="24"/>
        </w:rPr>
        <w:endnoteReference w:id="56"/>
      </w:r>
      <w:bookmarkEnd w:id="313"/>
    </w:p>
    <w:tbl>
      <w:tblPr>
        <w:tblStyle w:val="TableGrid"/>
        <w:tblW w:w="9067" w:type="dxa"/>
        <w:tblLayout w:type="fixed"/>
        <w:tblLook w:val="06A0" w:firstRow="1" w:lastRow="0" w:firstColumn="1" w:lastColumn="0" w:noHBand="1" w:noVBand="1"/>
      </w:tblPr>
      <w:tblGrid>
        <w:gridCol w:w="3022"/>
        <w:gridCol w:w="3022"/>
        <w:gridCol w:w="3023"/>
      </w:tblGrid>
      <w:tr w:rsidR="007F0506" w14:paraId="18B4FD7D" w14:textId="77777777" w:rsidTr="008410BE">
        <w:trPr>
          <w:trHeight w:val="260"/>
        </w:trPr>
        <w:tc>
          <w:tcPr>
            <w:tcW w:w="30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FE358C" w14:textId="77777777" w:rsidR="007F0506" w:rsidRPr="007F0506" w:rsidRDefault="007F0506" w:rsidP="007F0506">
            <w:pPr>
              <w:spacing w:after="0" w:line="240" w:lineRule="auto"/>
              <w:rPr>
                <w:rFonts w:eastAsia="Calibri" w:cs="Arial"/>
                <w:b/>
                <w:bCs/>
                <w:szCs w:val="24"/>
              </w:rPr>
            </w:pPr>
            <w:r w:rsidRPr="007F0506">
              <w:rPr>
                <w:rFonts w:eastAsia="Calibri" w:cs="Arial"/>
                <w:b/>
                <w:bCs/>
                <w:szCs w:val="24"/>
              </w:rPr>
              <w:t>Financial year</w:t>
            </w:r>
          </w:p>
        </w:tc>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14F38532" w14:textId="1C40F401" w:rsidR="007F0506" w:rsidRDefault="006A4AA0" w:rsidP="007F0506">
            <w:pPr>
              <w:spacing w:after="0" w:line="240" w:lineRule="auto"/>
              <w:rPr>
                <w:b/>
                <w:bCs/>
              </w:rPr>
            </w:pPr>
            <w:r w:rsidRPr="006A4AA0">
              <w:rPr>
                <w:b/>
                <w:bCs/>
              </w:rPr>
              <w:t>16187</w:t>
            </w:r>
            <w:r w:rsidR="00EC1F82">
              <w:rPr>
                <w:b/>
                <w:bCs/>
              </w:rPr>
              <w:t xml:space="preserve"> (2021)</w:t>
            </w:r>
          </w:p>
          <w:p w14:paraId="0E590119" w14:textId="71C955F6" w:rsidR="0038422C" w:rsidRPr="007F0506" w:rsidRDefault="0038422C" w:rsidP="007F0506">
            <w:pPr>
              <w:spacing w:after="0" w:line="240" w:lineRule="auto"/>
              <w:rPr>
                <w:rFonts w:eastAsia="Calibri" w:cs="Arial"/>
                <w:b/>
                <w:bCs/>
                <w:szCs w:val="24"/>
              </w:rPr>
            </w:pPr>
            <w:r>
              <w:t xml:space="preserve">Total number of applications for Job Support </w:t>
            </w:r>
            <w:r w:rsidR="00E12939">
              <w:t>f</w:t>
            </w:r>
            <w:r>
              <w:t>unds</w:t>
            </w:r>
          </w:p>
        </w:tc>
        <w:tc>
          <w:tcPr>
            <w:tcW w:w="3023" w:type="dxa"/>
            <w:tcBorders>
              <w:top w:val="single" w:sz="4" w:space="0" w:color="auto"/>
              <w:left w:val="single" w:sz="4" w:space="0" w:color="auto"/>
              <w:bottom w:val="single" w:sz="4" w:space="0" w:color="auto"/>
              <w:right w:val="single" w:sz="4" w:space="0" w:color="auto"/>
            </w:tcBorders>
            <w:shd w:val="clear" w:color="auto" w:fill="auto"/>
            <w:hideMark/>
          </w:tcPr>
          <w:p w14:paraId="078BC944" w14:textId="796A56FB" w:rsidR="007F0506" w:rsidRPr="007F0506" w:rsidRDefault="006A4AA0" w:rsidP="007F0506">
            <w:pPr>
              <w:spacing w:after="0" w:line="240" w:lineRule="auto"/>
              <w:rPr>
                <w:rFonts w:eastAsia="Calibri" w:cs="Arial"/>
                <w:b/>
                <w:bCs/>
                <w:szCs w:val="24"/>
              </w:rPr>
            </w:pPr>
            <w:r w:rsidRPr="006A4AA0">
              <w:rPr>
                <w:b/>
                <w:bCs/>
              </w:rPr>
              <w:t>17440</w:t>
            </w:r>
            <w:r w:rsidR="00EC1F82">
              <w:rPr>
                <w:b/>
                <w:bCs/>
              </w:rPr>
              <w:t xml:space="preserve"> (2022)</w:t>
            </w:r>
          </w:p>
        </w:tc>
      </w:tr>
      <w:tr w:rsidR="00542E2D" w14:paraId="26DC2C41"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vAlign w:val="bottom"/>
            <w:hideMark/>
          </w:tcPr>
          <w:p w14:paraId="726D5855" w14:textId="77777777" w:rsidR="00542E2D" w:rsidRDefault="00542E2D" w:rsidP="00542E2D">
            <w:pPr>
              <w:spacing w:after="0" w:line="240" w:lineRule="auto"/>
              <w:rPr>
                <w:rFonts w:eastAsia="Calibri" w:cs="Arial"/>
                <w:szCs w:val="24"/>
              </w:rPr>
            </w:pPr>
            <w:r>
              <w:rPr>
                <w:rFonts w:eastAsia="Calibri" w:cs="Arial"/>
                <w:szCs w:val="24"/>
              </w:rPr>
              <w:t>2011/12</w:t>
            </w:r>
          </w:p>
        </w:tc>
        <w:tc>
          <w:tcPr>
            <w:tcW w:w="3022" w:type="dxa"/>
            <w:tcBorders>
              <w:top w:val="single" w:sz="4" w:space="0" w:color="auto"/>
              <w:left w:val="single" w:sz="4" w:space="0" w:color="auto"/>
              <w:bottom w:val="single" w:sz="4" w:space="0" w:color="auto"/>
              <w:right w:val="single" w:sz="4" w:space="0" w:color="auto"/>
            </w:tcBorders>
            <w:vAlign w:val="bottom"/>
            <w:hideMark/>
          </w:tcPr>
          <w:p w14:paraId="67E2B05C" w14:textId="50D23DFA" w:rsidR="00542E2D" w:rsidRDefault="00542E2D" w:rsidP="00542E2D">
            <w:pPr>
              <w:spacing w:after="0" w:line="240" w:lineRule="auto"/>
              <w:jc w:val="right"/>
              <w:rPr>
                <w:rFonts w:eastAsia="Calibri" w:cs="Arial"/>
                <w:szCs w:val="24"/>
              </w:rPr>
            </w:pPr>
            <w:r>
              <w:rPr>
                <w:rFonts w:cs="Arial"/>
                <w:szCs w:val="24"/>
              </w:rPr>
              <w:t>2,552</w:t>
            </w:r>
          </w:p>
        </w:tc>
        <w:tc>
          <w:tcPr>
            <w:tcW w:w="3023" w:type="dxa"/>
            <w:tcBorders>
              <w:top w:val="single" w:sz="4" w:space="0" w:color="auto"/>
              <w:left w:val="single" w:sz="4" w:space="0" w:color="auto"/>
              <w:bottom w:val="single" w:sz="4" w:space="0" w:color="auto"/>
              <w:right w:val="single" w:sz="4" w:space="0" w:color="auto"/>
            </w:tcBorders>
            <w:vAlign w:val="bottom"/>
          </w:tcPr>
          <w:p w14:paraId="7E94A072" w14:textId="77777777" w:rsidR="00542E2D" w:rsidRDefault="00542E2D" w:rsidP="00542E2D">
            <w:pPr>
              <w:spacing w:after="0" w:line="240" w:lineRule="auto"/>
              <w:jc w:val="right"/>
              <w:rPr>
                <w:rFonts w:eastAsia="Calibri" w:cs="Arial"/>
                <w:szCs w:val="24"/>
              </w:rPr>
            </w:pPr>
          </w:p>
        </w:tc>
      </w:tr>
      <w:tr w:rsidR="00542E2D" w14:paraId="107E1DF9" w14:textId="77777777" w:rsidTr="00542E2D">
        <w:trPr>
          <w:trHeight w:val="260"/>
        </w:trPr>
        <w:tc>
          <w:tcPr>
            <w:tcW w:w="3022" w:type="dxa"/>
            <w:tcBorders>
              <w:top w:val="single" w:sz="4" w:space="0" w:color="auto"/>
              <w:left w:val="single" w:sz="4" w:space="0" w:color="auto"/>
              <w:bottom w:val="single" w:sz="4" w:space="0" w:color="auto"/>
              <w:right w:val="single" w:sz="4" w:space="0" w:color="auto"/>
            </w:tcBorders>
            <w:vAlign w:val="bottom"/>
            <w:hideMark/>
          </w:tcPr>
          <w:p w14:paraId="679A7062" w14:textId="77777777" w:rsidR="00542E2D" w:rsidRDefault="00542E2D" w:rsidP="00542E2D">
            <w:pPr>
              <w:spacing w:after="0" w:line="240" w:lineRule="auto"/>
              <w:rPr>
                <w:rFonts w:eastAsia="Calibri" w:cs="Arial"/>
                <w:szCs w:val="24"/>
              </w:rPr>
            </w:pPr>
            <w:r>
              <w:rPr>
                <w:rFonts w:eastAsia="Calibri" w:cs="Arial"/>
                <w:szCs w:val="24"/>
              </w:rPr>
              <w:t>2012/13</w:t>
            </w:r>
          </w:p>
        </w:tc>
        <w:tc>
          <w:tcPr>
            <w:tcW w:w="3022" w:type="dxa"/>
            <w:tcBorders>
              <w:top w:val="single" w:sz="4" w:space="0" w:color="auto"/>
              <w:left w:val="single" w:sz="4" w:space="0" w:color="auto"/>
              <w:bottom w:val="single" w:sz="4" w:space="0" w:color="auto"/>
              <w:right w:val="single" w:sz="4" w:space="0" w:color="auto"/>
            </w:tcBorders>
            <w:vAlign w:val="bottom"/>
          </w:tcPr>
          <w:p w14:paraId="2AD65757" w14:textId="2CA0886C" w:rsidR="00542E2D" w:rsidRDefault="00542E2D" w:rsidP="00542E2D">
            <w:pPr>
              <w:spacing w:after="0" w:line="240" w:lineRule="auto"/>
              <w:jc w:val="right"/>
              <w:rPr>
                <w:rFonts w:eastAsia="Calibri" w:cs="Arial"/>
                <w:szCs w:val="24"/>
              </w:rPr>
            </w:pPr>
            <w:r>
              <w:rPr>
                <w:rFonts w:cs="Arial"/>
                <w:szCs w:val="24"/>
              </w:rPr>
              <w:t>2,258</w:t>
            </w:r>
          </w:p>
        </w:tc>
        <w:tc>
          <w:tcPr>
            <w:tcW w:w="3023" w:type="dxa"/>
            <w:tcBorders>
              <w:top w:val="single" w:sz="4" w:space="0" w:color="auto"/>
              <w:left w:val="single" w:sz="4" w:space="0" w:color="auto"/>
              <w:bottom w:val="single" w:sz="4" w:space="0" w:color="auto"/>
              <w:right w:val="single" w:sz="4" w:space="0" w:color="auto"/>
            </w:tcBorders>
            <w:vAlign w:val="bottom"/>
            <w:hideMark/>
          </w:tcPr>
          <w:p w14:paraId="7BE1621E" w14:textId="77777777" w:rsidR="00542E2D" w:rsidRDefault="00542E2D" w:rsidP="00542E2D">
            <w:pPr>
              <w:spacing w:after="0" w:line="240" w:lineRule="auto"/>
              <w:jc w:val="right"/>
              <w:rPr>
                <w:rFonts w:eastAsia="Calibri" w:cs="Arial"/>
                <w:szCs w:val="24"/>
              </w:rPr>
            </w:pPr>
            <w:r>
              <w:rPr>
                <w:rFonts w:cs="Arial"/>
                <w:szCs w:val="24"/>
              </w:rPr>
              <w:t>2,259</w:t>
            </w:r>
          </w:p>
        </w:tc>
      </w:tr>
      <w:tr w:rsidR="00542E2D" w14:paraId="2276F1E9" w14:textId="77777777" w:rsidTr="00542E2D">
        <w:trPr>
          <w:trHeight w:val="260"/>
        </w:trPr>
        <w:tc>
          <w:tcPr>
            <w:tcW w:w="3022" w:type="dxa"/>
            <w:tcBorders>
              <w:top w:val="single" w:sz="4" w:space="0" w:color="auto"/>
              <w:left w:val="single" w:sz="4" w:space="0" w:color="auto"/>
              <w:bottom w:val="single" w:sz="4" w:space="0" w:color="auto"/>
              <w:right w:val="single" w:sz="4" w:space="0" w:color="auto"/>
            </w:tcBorders>
            <w:vAlign w:val="bottom"/>
            <w:hideMark/>
          </w:tcPr>
          <w:p w14:paraId="5150A3B6" w14:textId="77777777" w:rsidR="00542E2D" w:rsidRDefault="00542E2D" w:rsidP="00542E2D">
            <w:pPr>
              <w:spacing w:after="0" w:line="240" w:lineRule="auto"/>
              <w:rPr>
                <w:rFonts w:eastAsia="Calibri" w:cs="Arial"/>
                <w:szCs w:val="24"/>
              </w:rPr>
            </w:pPr>
            <w:r>
              <w:rPr>
                <w:rFonts w:eastAsia="Calibri" w:cs="Arial"/>
                <w:szCs w:val="24"/>
              </w:rPr>
              <w:t>2013/14</w:t>
            </w:r>
          </w:p>
        </w:tc>
        <w:tc>
          <w:tcPr>
            <w:tcW w:w="3022" w:type="dxa"/>
            <w:tcBorders>
              <w:top w:val="single" w:sz="4" w:space="0" w:color="auto"/>
              <w:left w:val="single" w:sz="4" w:space="0" w:color="auto"/>
              <w:bottom w:val="single" w:sz="4" w:space="0" w:color="auto"/>
              <w:right w:val="single" w:sz="4" w:space="0" w:color="auto"/>
            </w:tcBorders>
            <w:vAlign w:val="bottom"/>
          </w:tcPr>
          <w:p w14:paraId="1DA5572F" w14:textId="259E6097" w:rsidR="00542E2D" w:rsidRDefault="00542E2D" w:rsidP="00542E2D">
            <w:pPr>
              <w:spacing w:after="0" w:line="240" w:lineRule="auto"/>
              <w:jc w:val="right"/>
              <w:rPr>
                <w:rFonts w:eastAsia="Calibri" w:cs="Arial"/>
                <w:szCs w:val="24"/>
              </w:rPr>
            </w:pPr>
            <w:r>
              <w:rPr>
                <w:rFonts w:cs="Arial"/>
                <w:szCs w:val="24"/>
              </w:rPr>
              <w:t>1,949</w:t>
            </w:r>
          </w:p>
        </w:tc>
        <w:tc>
          <w:tcPr>
            <w:tcW w:w="3023" w:type="dxa"/>
            <w:tcBorders>
              <w:top w:val="single" w:sz="4" w:space="0" w:color="auto"/>
              <w:left w:val="single" w:sz="4" w:space="0" w:color="auto"/>
              <w:bottom w:val="single" w:sz="4" w:space="0" w:color="auto"/>
              <w:right w:val="single" w:sz="4" w:space="0" w:color="auto"/>
            </w:tcBorders>
            <w:vAlign w:val="bottom"/>
            <w:hideMark/>
          </w:tcPr>
          <w:p w14:paraId="6B0E6649" w14:textId="77777777" w:rsidR="00542E2D" w:rsidRDefault="00542E2D" w:rsidP="00542E2D">
            <w:pPr>
              <w:spacing w:after="0" w:line="240" w:lineRule="auto"/>
              <w:jc w:val="right"/>
              <w:rPr>
                <w:rFonts w:eastAsia="Calibri" w:cs="Arial"/>
                <w:szCs w:val="24"/>
              </w:rPr>
            </w:pPr>
            <w:r>
              <w:rPr>
                <w:rFonts w:cs="Arial"/>
                <w:szCs w:val="24"/>
              </w:rPr>
              <w:t>1,950</w:t>
            </w:r>
          </w:p>
        </w:tc>
      </w:tr>
      <w:tr w:rsidR="00542E2D" w14:paraId="4226D6A3" w14:textId="77777777" w:rsidTr="00542E2D">
        <w:trPr>
          <w:trHeight w:val="260"/>
        </w:trPr>
        <w:tc>
          <w:tcPr>
            <w:tcW w:w="3022" w:type="dxa"/>
            <w:tcBorders>
              <w:top w:val="single" w:sz="4" w:space="0" w:color="auto"/>
              <w:left w:val="single" w:sz="4" w:space="0" w:color="auto"/>
              <w:bottom w:val="single" w:sz="4" w:space="0" w:color="auto"/>
              <w:right w:val="single" w:sz="4" w:space="0" w:color="auto"/>
            </w:tcBorders>
            <w:vAlign w:val="bottom"/>
            <w:hideMark/>
          </w:tcPr>
          <w:p w14:paraId="482B46FE" w14:textId="77777777" w:rsidR="00542E2D" w:rsidRDefault="00542E2D" w:rsidP="00542E2D">
            <w:pPr>
              <w:spacing w:after="0" w:line="240" w:lineRule="auto"/>
              <w:rPr>
                <w:rFonts w:eastAsia="Calibri" w:cs="Arial"/>
                <w:szCs w:val="24"/>
              </w:rPr>
            </w:pPr>
            <w:r>
              <w:rPr>
                <w:rFonts w:eastAsia="Calibri" w:cs="Arial"/>
                <w:szCs w:val="24"/>
              </w:rPr>
              <w:t>2014/15</w:t>
            </w:r>
          </w:p>
        </w:tc>
        <w:tc>
          <w:tcPr>
            <w:tcW w:w="3022" w:type="dxa"/>
            <w:tcBorders>
              <w:top w:val="single" w:sz="4" w:space="0" w:color="auto"/>
              <w:left w:val="single" w:sz="4" w:space="0" w:color="auto"/>
              <w:bottom w:val="single" w:sz="4" w:space="0" w:color="auto"/>
              <w:right w:val="single" w:sz="4" w:space="0" w:color="auto"/>
            </w:tcBorders>
            <w:vAlign w:val="bottom"/>
          </w:tcPr>
          <w:p w14:paraId="3F4F65D3" w14:textId="47EC5407" w:rsidR="00542E2D" w:rsidRDefault="00542E2D" w:rsidP="00542E2D">
            <w:pPr>
              <w:spacing w:after="0" w:line="240" w:lineRule="auto"/>
              <w:jc w:val="right"/>
              <w:rPr>
                <w:rFonts w:eastAsia="Calibri" w:cs="Arial"/>
                <w:szCs w:val="24"/>
              </w:rPr>
            </w:pPr>
            <w:r>
              <w:rPr>
                <w:rFonts w:cs="Arial"/>
                <w:szCs w:val="24"/>
              </w:rPr>
              <w:t>2,053</w:t>
            </w:r>
          </w:p>
        </w:tc>
        <w:tc>
          <w:tcPr>
            <w:tcW w:w="3023" w:type="dxa"/>
            <w:tcBorders>
              <w:top w:val="single" w:sz="4" w:space="0" w:color="auto"/>
              <w:left w:val="single" w:sz="4" w:space="0" w:color="auto"/>
              <w:bottom w:val="single" w:sz="4" w:space="0" w:color="auto"/>
              <w:right w:val="single" w:sz="4" w:space="0" w:color="auto"/>
            </w:tcBorders>
            <w:vAlign w:val="bottom"/>
            <w:hideMark/>
          </w:tcPr>
          <w:p w14:paraId="64022A8A" w14:textId="77777777" w:rsidR="00542E2D" w:rsidRDefault="00542E2D" w:rsidP="00542E2D">
            <w:pPr>
              <w:spacing w:after="0" w:line="240" w:lineRule="auto"/>
              <w:jc w:val="right"/>
              <w:rPr>
                <w:rFonts w:eastAsia="Calibri" w:cs="Arial"/>
                <w:szCs w:val="24"/>
              </w:rPr>
            </w:pPr>
            <w:r>
              <w:rPr>
                <w:rFonts w:cs="Arial"/>
                <w:szCs w:val="24"/>
              </w:rPr>
              <w:t>2,052</w:t>
            </w:r>
          </w:p>
        </w:tc>
      </w:tr>
      <w:tr w:rsidR="00542E2D" w14:paraId="31108F58" w14:textId="77777777" w:rsidTr="00542E2D">
        <w:trPr>
          <w:trHeight w:val="260"/>
        </w:trPr>
        <w:tc>
          <w:tcPr>
            <w:tcW w:w="3022" w:type="dxa"/>
            <w:tcBorders>
              <w:top w:val="single" w:sz="4" w:space="0" w:color="auto"/>
              <w:left w:val="single" w:sz="4" w:space="0" w:color="auto"/>
              <w:bottom w:val="single" w:sz="4" w:space="0" w:color="auto"/>
              <w:right w:val="single" w:sz="4" w:space="0" w:color="auto"/>
            </w:tcBorders>
            <w:vAlign w:val="bottom"/>
            <w:hideMark/>
          </w:tcPr>
          <w:p w14:paraId="6704F145" w14:textId="77777777" w:rsidR="00542E2D" w:rsidRDefault="00542E2D" w:rsidP="00542E2D">
            <w:pPr>
              <w:spacing w:after="0" w:line="240" w:lineRule="auto"/>
              <w:rPr>
                <w:rFonts w:eastAsia="Calibri" w:cs="Arial"/>
                <w:szCs w:val="24"/>
              </w:rPr>
            </w:pPr>
            <w:r>
              <w:rPr>
                <w:rFonts w:eastAsia="Calibri" w:cs="Arial"/>
                <w:szCs w:val="24"/>
              </w:rPr>
              <w:t>2015/16</w:t>
            </w:r>
          </w:p>
        </w:tc>
        <w:tc>
          <w:tcPr>
            <w:tcW w:w="3022" w:type="dxa"/>
            <w:tcBorders>
              <w:top w:val="single" w:sz="4" w:space="0" w:color="auto"/>
              <w:left w:val="single" w:sz="4" w:space="0" w:color="auto"/>
              <w:bottom w:val="single" w:sz="4" w:space="0" w:color="auto"/>
              <w:right w:val="single" w:sz="4" w:space="0" w:color="auto"/>
            </w:tcBorders>
            <w:vAlign w:val="bottom"/>
          </w:tcPr>
          <w:p w14:paraId="43A8DDE6" w14:textId="50605BD8" w:rsidR="00542E2D" w:rsidRDefault="00542E2D" w:rsidP="00542E2D">
            <w:pPr>
              <w:spacing w:after="0" w:line="240" w:lineRule="auto"/>
              <w:jc w:val="right"/>
              <w:rPr>
                <w:rFonts w:eastAsia="Calibri" w:cs="Arial"/>
                <w:szCs w:val="24"/>
              </w:rPr>
            </w:pPr>
            <w:r>
              <w:rPr>
                <w:rFonts w:cs="Arial"/>
                <w:szCs w:val="24"/>
              </w:rPr>
              <w:t>1,851</w:t>
            </w:r>
          </w:p>
        </w:tc>
        <w:tc>
          <w:tcPr>
            <w:tcW w:w="3023" w:type="dxa"/>
            <w:tcBorders>
              <w:top w:val="single" w:sz="4" w:space="0" w:color="auto"/>
              <w:left w:val="single" w:sz="4" w:space="0" w:color="auto"/>
              <w:bottom w:val="single" w:sz="4" w:space="0" w:color="auto"/>
              <w:right w:val="single" w:sz="4" w:space="0" w:color="auto"/>
            </w:tcBorders>
            <w:vAlign w:val="bottom"/>
            <w:hideMark/>
          </w:tcPr>
          <w:p w14:paraId="4055A7BB" w14:textId="77777777" w:rsidR="00542E2D" w:rsidRDefault="00542E2D" w:rsidP="00542E2D">
            <w:pPr>
              <w:spacing w:after="0" w:line="240" w:lineRule="auto"/>
              <w:jc w:val="right"/>
              <w:rPr>
                <w:rFonts w:eastAsia="Calibri" w:cs="Arial"/>
                <w:szCs w:val="24"/>
              </w:rPr>
            </w:pPr>
            <w:r>
              <w:rPr>
                <w:rFonts w:cs="Arial"/>
                <w:szCs w:val="24"/>
              </w:rPr>
              <w:t>1,851</w:t>
            </w:r>
          </w:p>
        </w:tc>
      </w:tr>
      <w:tr w:rsidR="00542E2D" w14:paraId="36BE95DB" w14:textId="77777777" w:rsidTr="00542E2D">
        <w:trPr>
          <w:trHeight w:val="260"/>
        </w:trPr>
        <w:tc>
          <w:tcPr>
            <w:tcW w:w="3022" w:type="dxa"/>
            <w:tcBorders>
              <w:top w:val="single" w:sz="4" w:space="0" w:color="auto"/>
              <w:left w:val="single" w:sz="4" w:space="0" w:color="auto"/>
              <w:bottom w:val="single" w:sz="4" w:space="0" w:color="auto"/>
              <w:right w:val="single" w:sz="4" w:space="0" w:color="auto"/>
            </w:tcBorders>
            <w:vAlign w:val="bottom"/>
            <w:hideMark/>
          </w:tcPr>
          <w:p w14:paraId="6357F7B6" w14:textId="77777777" w:rsidR="00542E2D" w:rsidRDefault="00542E2D" w:rsidP="00542E2D">
            <w:pPr>
              <w:spacing w:after="0" w:line="240" w:lineRule="auto"/>
              <w:rPr>
                <w:rFonts w:eastAsia="Calibri" w:cs="Arial"/>
                <w:szCs w:val="24"/>
              </w:rPr>
            </w:pPr>
            <w:r>
              <w:rPr>
                <w:rFonts w:eastAsia="Calibri" w:cs="Arial"/>
                <w:szCs w:val="24"/>
              </w:rPr>
              <w:t>2016/17</w:t>
            </w:r>
          </w:p>
        </w:tc>
        <w:tc>
          <w:tcPr>
            <w:tcW w:w="3022" w:type="dxa"/>
            <w:tcBorders>
              <w:top w:val="single" w:sz="4" w:space="0" w:color="auto"/>
              <w:left w:val="single" w:sz="4" w:space="0" w:color="auto"/>
              <w:bottom w:val="single" w:sz="4" w:space="0" w:color="auto"/>
              <w:right w:val="single" w:sz="4" w:space="0" w:color="auto"/>
            </w:tcBorders>
            <w:vAlign w:val="bottom"/>
          </w:tcPr>
          <w:p w14:paraId="40C6EBAA" w14:textId="1BB05C5D" w:rsidR="00542E2D" w:rsidRDefault="00542E2D" w:rsidP="00542E2D">
            <w:pPr>
              <w:spacing w:after="0" w:line="240" w:lineRule="auto"/>
              <w:jc w:val="right"/>
              <w:rPr>
                <w:rFonts w:eastAsia="Calibri" w:cs="Arial"/>
                <w:szCs w:val="24"/>
              </w:rPr>
            </w:pPr>
            <w:r>
              <w:rPr>
                <w:rFonts w:cs="Arial"/>
                <w:szCs w:val="24"/>
              </w:rPr>
              <w:t>1,682</w:t>
            </w:r>
          </w:p>
        </w:tc>
        <w:tc>
          <w:tcPr>
            <w:tcW w:w="3023" w:type="dxa"/>
            <w:tcBorders>
              <w:top w:val="single" w:sz="4" w:space="0" w:color="auto"/>
              <w:left w:val="single" w:sz="4" w:space="0" w:color="auto"/>
              <w:bottom w:val="single" w:sz="4" w:space="0" w:color="auto"/>
              <w:right w:val="single" w:sz="4" w:space="0" w:color="auto"/>
            </w:tcBorders>
            <w:vAlign w:val="bottom"/>
            <w:hideMark/>
          </w:tcPr>
          <w:p w14:paraId="2A4BBDD6" w14:textId="77777777" w:rsidR="00542E2D" w:rsidRDefault="00542E2D" w:rsidP="00542E2D">
            <w:pPr>
              <w:spacing w:after="0" w:line="240" w:lineRule="auto"/>
              <w:jc w:val="right"/>
              <w:rPr>
                <w:rFonts w:eastAsia="Calibri" w:cs="Arial"/>
                <w:szCs w:val="24"/>
              </w:rPr>
            </w:pPr>
            <w:r>
              <w:rPr>
                <w:rFonts w:cs="Arial"/>
                <w:szCs w:val="24"/>
              </w:rPr>
              <w:t>1,683</w:t>
            </w:r>
          </w:p>
        </w:tc>
      </w:tr>
      <w:tr w:rsidR="00542E2D" w14:paraId="4581DC9E" w14:textId="77777777" w:rsidTr="00542E2D">
        <w:trPr>
          <w:trHeight w:val="278"/>
        </w:trPr>
        <w:tc>
          <w:tcPr>
            <w:tcW w:w="3022" w:type="dxa"/>
            <w:tcBorders>
              <w:top w:val="single" w:sz="4" w:space="0" w:color="auto"/>
              <w:left w:val="single" w:sz="4" w:space="0" w:color="auto"/>
              <w:bottom w:val="single" w:sz="4" w:space="0" w:color="auto"/>
              <w:right w:val="single" w:sz="4" w:space="0" w:color="auto"/>
            </w:tcBorders>
            <w:vAlign w:val="bottom"/>
            <w:hideMark/>
          </w:tcPr>
          <w:p w14:paraId="4887C79A" w14:textId="77777777" w:rsidR="00542E2D" w:rsidRDefault="00542E2D" w:rsidP="00542E2D">
            <w:pPr>
              <w:spacing w:after="0" w:line="240" w:lineRule="auto"/>
              <w:rPr>
                <w:rFonts w:eastAsia="Calibri" w:cs="Arial"/>
                <w:szCs w:val="24"/>
              </w:rPr>
            </w:pPr>
            <w:r>
              <w:rPr>
                <w:rFonts w:eastAsia="Calibri" w:cs="Arial"/>
                <w:szCs w:val="24"/>
              </w:rPr>
              <w:t>2017/18</w:t>
            </w:r>
          </w:p>
        </w:tc>
        <w:tc>
          <w:tcPr>
            <w:tcW w:w="3022" w:type="dxa"/>
            <w:tcBorders>
              <w:top w:val="single" w:sz="4" w:space="0" w:color="auto"/>
              <w:left w:val="single" w:sz="4" w:space="0" w:color="auto"/>
              <w:bottom w:val="single" w:sz="4" w:space="0" w:color="auto"/>
              <w:right w:val="single" w:sz="4" w:space="0" w:color="auto"/>
            </w:tcBorders>
            <w:vAlign w:val="bottom"/>
          </w:tcPr>
          <w:p w14:paraId="1C013F02" w14:textId="57D42F08" w:rsidR="00542E2D" w:rsidRDefault="00542E2D" w:rsidP="00542E2D">
            <w:pPr>
              <w:spacing w:after="0" w:line="240" w:lineRule="auto"/>
              <w:jc w:val="right"/>
              <w:rPr>
                <w:rFonts w:eastAsia="Calibri" w:cs="Arial"/>
                <w:szCs w:val="24"/>
              </w:rPr>
            </w:pPr>
            <w:r>
              <w:rPr>
                <w:rFonts w:cs="Arial"/>
                <w:szCs w:val="24"/>
              </w:rPr>
              <w:t>1,794</w:t>
            </w:r>
          </w:p>
        </w:tc>
        <w:tc>
          <w:tcPr>
            <w:tcW w:w="3023" w:type="dxa"/>
            <w:tcBorders>
              <w:top w:val="single" w:sz="4" w:space="0" w:color="auto"/>
              <w:left w:val="single" w:sz="4" w:space="0" w:color="auto"/>
              <w:bottom w:val="single" w:sz="4" w:space="0" w:color="auto"/>
              <w:right w:val="single" w:sz="4" w:space="0" w:color="auto"/>
            </w:tcBorders>
            <w:vAlign w:val="bottom"/>
            <w:hideMark/>
          </w:tcPr>
          <w:p w14:paraId="76DADDF4" w14:textId="77777777" w:rsidR="00542E2D" w:rsidRDefault="00542E2D" w:rsidP="00542E2D">
            <w:pPr>
              <w:spacing w:after="0" w:line="240" w:lineRule="auto"/>
              <w:jc w:val="right"/>
              <w:rPr>
                <w:rFonts w:eastAsia="Calibri" w:cs="Arial"/>
                <w:szCs w:val="24"/>
              </w:rPr>
            </w:pPr>
            <w:r>
              <w:rPr>
                <w:rFonts w:cs="Arial"/>
                <w:szCs w:val="24"/>
              </w:rPr>
              <w:t>1,794</w:t>
            </w:r>
          </w:p>
        </w:tc>
      </w:tr>
      <w:tr w:rsidR="00542E2D" w14:paraId="7A3C30C4" w14:textId="77777777" w:rsidTr="00542E2D">
        <w:trPr>
          <w:trHeight w:val="260"/>
        </w:trPr>
        <w:tc>
          <w:tcPr>
            <w:tcW w:w="3022" w:type="dxa"/>
            <w:tcBorders>
              <w:top w:val="single" w:sz="4" w:space="0" w:color="auto"/>
              <w:left w:val="single" w:sz="4" w:space="0" w:color="auto"/>
              <w:bottom w:val="single" w:sz="4" w:space="0" w:color="auto"/>
              <w:right w:val="single" w:sz="4" w:space="0" w:color="auto"/>
            </w:tcBorders>
            <w:vAlign w:val="bottom"/>
            <w:hideMark/>
          </w:tcPr>
          <w:p w14:paraId="21F9605C" w14:textId="77777777" w:rsidR="00542E2D" w:rsidRDefault="00542E2D" w:rsidP="00542E2D">
            <w:pPr>
              <w:spacing w:after="0" w:line="240" w:lineRule="auto"/>
              <w:rPr>
                <w:rFonts w:eastAsia="Calibri" w:cs="Arial"/>
                <w:szCs w:val="24"/>
              </w:rPr>
            </w:pPr>
            <w:r>
              <w:rPr>
                <w:rFonts w:eastAsia="Calibri" w:cs="Arial"/>
                <w:szCs w:val="24"/>
              </w:rPr>
              <w:t>2018/19</w:t>
            </w:r>
          </w:p>
        </w:tc>
        <w:tc>
          <w:tcPr>
            <w:tcW w:w="3022" w:type="dxa"/>
            <w:tcBorders>
              <w:top w:val="single" w:sz="4" w:space="0" w:color="auto"/>
              <w:left w:val="single" w:sz="4" w:space="0" w:color="auto"/>
              <w:bottom w:val="single" w:sz="4" w:space="0" w:color="auto"/>
              <w:right w:val="single" w:sz="4" w:space="0" w:color="auto"/>
            </w:tcBorders>
            <w:vAlign w:val="bottom"/>
          </w:tcPr>
          <w:p w14:paraId="76F25D6B" w14:textId="021D182E" w:rsidR="00542E2D" w:rsidRDefault="00542E2D" w:rsidP="00542E2D">
            <w:pPr>
              <w:spacing w:after="0" w:line="240" w:lineRule="auto"/>
              <w:jc w:val="right"/>
              <w:rPr>
                <w:rFonts w:eastAsia="Calibri" w:cs="Arial"/>
                <w:szCs w:val="24"/>
              </w:rPr>
            </w:pPr>
            <w:r>
              <w:rPr>
                <w:rFonts w:cs="Arial"/>
                <w:szCs w:val="24"/>
              </w:rPr>
              <w:t>1,607</w:t>
            </w:r>
          </w:p>
        </w:tc>
        <w:tc>
          <w:tcPr>
            <w:tcW w:w="3023" w:type="dxa"/>
            <w:tcBorders>
              <w:top w:val="single" w:sz="4" w:space="0" w:color="auto"/>
              <w:left w:val="single" w:sz="4" w:space="0" w:color="auto"/>
              <w:bottom w:val="single" w:sz="4" w:space="0" w:color="auto"/>
              <w:right w:val="single" w:sz="4" w:space="0" w:color="auto"/>
            </w:tcBorders>
            <w:vAlign w:val="bottom"/>
            <w:hideMark/>
          </w:tcPr>
          <w:p w14:paraId="4AF6D452" w14:textId="77777777" w:rsidR="00542E2D" w:rsidRDefault="00542E2D" w:rsidP="00542E2D">
            <w:pPr>
              <w:spacing w:after="0" w:line="240" w:lineRule="auto"/>
              <w:jc w:val="right"/>
              <w:rPr>
                <w:rFonts w:eastAsia="Calibri" w:cs="Arial"/>
                <w:szCs w:val="24"/>
              </w:rPr>
            </w:pPr>
            <w:r>
              <w:rPr>
                <w:rFonts w:cs="Arial"/>
                <w:szCs w:val="24"/>
              </w:rPr>
              <w:t>1,605</w:t>
            </w:r>
          </w:p>
        </w:tc>
      </w:tr>
      <w:tr w:rsidR="00542E2D" w14:paraId="24ABF31B" w14:textId="77777777" w:rsidTr="00542E2D">
        <w:trPr>
          <w:trHeight w:val="260"/>
        </w:trPr>
        <w:tc>
          <w:tcPr>
            <w:tcW w:w="3022" w:type="dxa"/>
            <w:tcBorders>
              <w:top w:val="single" w:sz="4" w:space="0" w:color="auto"/>
              <w:left w:val="single" w:sz="4" w:space="0" w:color="auto"/>
              <w:bottom w:val="single" w:sz="4" w:space="0" w:color="auto"/>
              <w:right w:val="single" w:sz="4" w:space="0" w:color="auto"/>
            </w:tcBorders>
            <w:vAlign w:val="bottom"/>
            <w:hideMark/>
          </w:tcPr>
          <w:p w14:paraId="7227CD61" w14:textId="77777777" w:rsidR="00542E2D" w:rsidRDefault="00542E2D" w:rsidP="00542E2D">
            <w:pPr>
              <w:spacing w:after="0" w:line="240" w:lineRule="auto"/>
              <w:rPr>
                <w:rFonts w:eastAsia="Calibri" w:cs="Arial"/>
                <w:szCs w:val="24"/>
              </w:rPr>
            </w:pPr>
            <w:r>
              <w:rPr>
                <w:rFonts w:eastAsia="Calibri" w:cs="Arial"/>
                <w:szCs w:val="24"/>
              </w:rPr>
              <w:t>2019/20</w:t>
            </w:r>
          </w:p>
        </w:tc>
        <w:tc>
          <w:tcPr>
            <w:tcW w:w="3022" w:type="dxa"/>
            <w:tcBorders>
              <w:top w:val="single" w:sz="4" w:space="0" w:color="auto"/>
              <w:left w:val="single" w:sz="4" w:space="0" w:color="auto"/>
              <w:bottom w:val="single" w:sz="4" w:space="0" w:color="auto"/>
              <w:right w:val="single" w:sz="4" w:space="0" w:color="auto"/>
            </w:tcBorders>
            <w:vAlign w:val="bottom"/>
          </w:tcPr>
          <w:p w14:paraId="7BFEFDF1" w14:textId="1CB6FB46" w:rsidR="00542E2D" w:rsidRDefault="00542E2D" w:rsidP="00542E2D">
            <w:pPr>
              <w:spacing w:after="0" w:line="240" w:lineRule="auto"/>
              <w:jc w:val="right"/>
              <w:rPr>
                <w:rFonts w:eastAsia="Calibri" w:cs="Arial"/>
                <w:szCs w:val="24"/>
              </w:rPr>
            </w:pPr>
            <w:r>
              <w:rPr>
                <w:rFonts w:cs="Arial"/>
                <w:szCs w:val="24"/>
              </w:rPr>
              <w:t>1,535</w:t>
            </w:r>
          </w:p>
        </w:tc>
        <w:tc>
          <w:tcPr>
            <w:tcW w:w="3023" w:type="dxa"/>
            <w:tcBorders>
              <w:top w:val="single" w:sz="4" w:space="0" w:color="auto"/>
              <w:left w:val="single" w:sz="4" w:space="0" w:color="auto"/>
              <w:bottom w:val="single" w:sz="4" w:space="0" w:color="auto"/>
              <w:right w:val="single" w:sz="4" w:space="0" w:color="auto"/>
            </w:tcBorders>
            <w:vAlign w:val="bottom"/>
            <w:hideMark/>
          </w:tcPr>
          <w:p w14:paraId="00610290" w14:textId="77777777" w:rsidR="00542E2D" w:rsidRDefault="00542E2D" w:rsidP="00542E2D">
            <w:pPr>
              <w:spacing w:after="0" w:line="240" w:lineRule="auto"/>
              <w:jc w:val="right"/>
              <w:rPr>
                <w:rFonts w:eastAsia="Calibri" w:cs="Arial"/>
                <w:szCs w:val="24"/>
              </w:rPr>
            </w:pPr>
            <w:r>
              <w:rPr>
                <w:rFonts w:cs="Arial"/>
                <w:szCs w:val="24"/>
              </w:rPr>
              <w:t>1,536</w:t>
            </w:r>
          </w:p>
        </w:tc>
      </w:tr>
      <w:tr w:rsidR="00542E2D" w14:paraId="7567713D" w14:textId="77777777" w:rsidTr="00542E2D">
        <w:trPr>
          <w:trHeight w:val="260"/>
        </w:trPr>
        <w:tc>
          <w:tcPr>
            <w:tcW w:w="3022" w:type="dxa"/>
            <w:tcBorders>
              <w:top w:val="single" w:sz="4" w:space="0" w:color="auto"/>
              <w:left w:val="single" w:sz="4" w:space="0" w:color="auto"/>
              <w:bottom w:val="single" w:sz="4" w:space="0" w:color="auto"/>
              <w:right w:val="single" w:sz="4" w:space="0" w:color="auto"/>
            </w:tcBorders>
            <w:vAlign w:val="bottom"/>
            <w:hideMark/>
          </w:tcPr>
          <w:p w14:paraId="739A0D67" w14:textId="211E6663" w:rsidR="00542E2D" w:rsidRDefault="00542E2D" w:rsidP="00542E2D">
            <w:pPr>
              <w:spacing w:after="0" w:line="240" w:lineRule="auto"/>
              <w:rPr>
                <w:rFonts w:eastAsia="Calibri" w:cs="Arial"/>
                <w:szCs w:val="24"/>
              </w:rPr>
            </w:pPr>
            <w:r>
              <w:rPr>
                <w:rFonts w:eastAsia="Calibri" w:cs="Arial"/>
                <w:szCs w:val="24"/>
              </w:rPr>
              <w:t>2020/21 *as at 31/3/21</w:t>
            </w:r>
          </w:p>
        </w:tc>
        <w:tc>
          <w:tcPr>
            <w:tcW w:w="3022" w:type="dxa"/>
            <w:tcBorders>
              <w:top w:val="single" w:sz="4" w:space="0" w:color="auto"/>
              <w:left w:val="single" w:sz="4" w:space="0" w:color="auto"/>
              <w:bottom w:val="single" w:sz="4" w:space="0" w:color="auto"/>
              <w:right w:val="single" w:sz="4" w:space="0" w:color="auto"/>
            </w:tcBorders>
            <w:vAlign w:val="bottom"/>
          </w:tcPr>
          <w:p w14:paraId="7801124A" w14:textId="1A704FA0" w:rsidR="00542E2D" w:rsidRDefault="0038422C" w:rsidP="00542E2D">
            <w:pPr>
              <w:spacing w:after="0" w:line="240" w:lineRule="auto"/>
              <w:jc w:val="right"/>
              <w:rPr>
                <w:rFonts w:eastAsia="Calibri" w:cs="Arial"/>
                <w:szCs w:val="24"/>
              </w:rPr>
            </w:pPr>
            <w:r>
              <w:rPr>
                <w:rFonts w:eastAsia="Calibri" w:cs="Arial"/>
                <w:szCs w:val="24"/>
              </w:rPr>
              <w:t>*1,035</w:t>
            </w:r>
          </w:p>
        </w:tc>
        <w:tc>
          <w:tcPr>
            <w:tcW w:w="3023" w:type="dxa"/>
            <w:tcBorders>
              <w:top w:val="single" w:sz="4" w:space="0" w:color="auto"/>
              <w:left w:val="single" w:sz="4" w:space="0" w:color="auto"/>
              <w:bottom w:val="single" w:sz="4" w:space="0" w:color="auto"/>
              <w:right w:val="single" w:sz="4" w:space="0" w:color="auto"/>
            </w:tcBorders>
            <w:vAlign w:val="bottom"/>
            <w:hideMark/>
          </w:tcPr>
          <w:p w14:paraId="5C27940C" w14:textId="77777777" w:rsidR="00542E2D" w:rsidRDefault="00542E2D" w:rsidP="00542E2D">
            <w:pPr>
              <w:spacing w:after="0" w:line="240" w:lineRule="auto"/>
              <w:jc w:val="right"/>
              <w:rPr>
                <w:rFonts w:eastAsia="Calibri" w:cs="Arial"/>
                <w:szCs w:val="24"/>
              </w:rPr>
            </w:pPr>
            <w:r>
              <w:rPr>
                <w:rFonts w:cs="Arial"/>
                <w:szCs w:val="24"/>
              </w:rPr>
              <w:t>1,329</w:t>
            </w:r>
          </w:p>
        </w:tc>
      </w:tr>
      <w:tr w:rsidR="00542E2D" w14:paraId="2C6B9C06" w14:textId="77777777" w:rsidTr="00E46857">
        <w:trPr>
          <w:trHeight w:val="260"/>
        </w:trPr>
        <w:tc>
          <w:tcPr>
            <w:tcW w:w="3022" w:type="dxa"/>
            <w:tcBorders>
              <w:top w:val="single" w:sz="4" w:space="0" w:color="auto"/>
              <w:left w:val="single" w:sz="4" w:space="0" w:color="auto"/>
              <w:bottom w:val="single" w:sz="4" w:space="0" w:color="auto"/>
              <w:right w:val="single" w:sz="4" w:space="0" w:color="auto"/>
            </w:tcBorders>
            <w:vAlign w:val="bottom"/>
            <w:hideMark/>
          </w:tcPr>
          <w:p w14:paraId="1C702C0C" w14:textId="13512D9B" w:rsidR="00542E2D" w:rsidRDefault="00542E2D" w:rsidP="00542E2D">
            <w:pPr>
              <w:spacing w:after="0" w:line="240" w:lineRule="auto"/>
              <w:rPr>
                <w:rFonts w:eastAsia="Calibri" w:cs="Arial"/>
                <w:szCs w:val="24"/>
              </w:rPr>
            </w:pPr>
            <w:r>
              <w:rPr>
                <w:rFonts w:eastAsia="Calibri" w:cs="Arial"/>
                <w:szCs w:val="24"/>
              </w:rPr>
              <w:t>2021/22 *as at 31/3/22</w:t>
            </w:r>
          </w:p>
        </w:tc>
        <w:tc>
          <w:tcPr>
            <w:tcW w:w="3022" w:type="dxa"/>
            <w:tcBorders>
              <w:top w:val="single" w:sz="4" w:space="0" w:color="auto"/>
              <w:left w:val="single" w:sz="4" w:space="0" w:color="auto"/>
              <w:bottom w:val="single" w:sz="4" w:space="0" w:color="auto"/>
              <w:right w:val="single" w:sz="4" w:space="0" w:color="auto"/>
            </w:tcBorders>
            <w:vAlign w:val="bottom"/>
            <w:hideMark/>
          </w:tcPr>
          <w:p w14:paraId="165677A4" w14:textId="77777777" w:rsidR="00542E2D" w:rsidRDefault="00542E2D" w:rsidP="00542E2D">
            <w:pPr>
              <w:spacing w:after="0" w:line="240" w:lineRule="auto"/>
              <w:jc w:val="right"/>
              <w:rPr>
                <w:rFonts w:eastAsia="Calibri" w:cs="Arial"/>
                <w:szCs w:val="24"/>
              </w:rPr>
            </w:pPr>
            <w:r>
              <w:rPr>
                <w:rFonts w:eastAsia="Calibri" w:cs="Arial"/>
                <w:szCs w:val="24"/>
              </w:rPr>
              <w:t>-</w:t>
            </w:r>
          </w:p>
        </w:tc>
        <w:tc>
          <w:tcPr>
            <w:tcW w:w="3023" w:type="dxa"/>
            <w:tcBorders>
              <w:top w:val="single" w:sz="4" w:space="0" w:color="auto"/>
              <w:left w:val="single" w:sz="4" w:space="0" w:color="auto"/>
              <w:bottom w:val="single" w:sz="4" w:space="0" w:color="auto"/>
              <w:right w:val="single" w:sz="4" w:space="0" w:color="auto"/>
            </w:tcBorders>
            <w:vAlign w:val="bottom"/>
            <w:hideMark/>
          </w:tcPr>
          <w:p w14:paraId="0E3899A9" w14:textId="06783216" w:rsidR="00542E2D" w:rsidRDefault="00542E2D" w:rsidP="00542E2D">
            <w:pPr>
              <w:spacing w:after="0" w:line="240" w:lineRule="auto"/>
              <w:jc w:val="right"/>
              <w:rPr>
                <w:rFonts w:eastAsia="Calibri" w:cs="Arial"/>
                <w:szCs w:val="24"/>
              </w:rPr>
            </w:pPr>
            <w:r>
              <w:rPr>
                <w:rFonts w:cs="Arial"/>
                <w:szCs w:val="24"/>
              </w:rPr>
              <w:t>*1,272</w:t>
            </w:r>
          </w:p>
        </w:tc>
      </w:tr>
    </w:tbl>
    <w:p w14:paraId="5F87A694" w14:textId="050FD7DD" w:rsidR="00E1114F" w:rsidRDefault="00E1114F" w:rsidP="00E1114F">
      <w:pPr>
        <w:pStyle w:val="Heading3"/>
      </w:pPr>
      <w:bookmarkStart w:id="315" w:name="_Toc133076294"/>
      <w:r>
        <w:t>Parliamentary Written Question 17438 (2022) v</w:t>
      </w:r>
      <w:r w:rsidR="00DC7A82">
        <w:t>s.</w:t>
      </w:r>
      <w:r>
        <w:t xml:space="preserve"> </w:t>
      </w:r>
      <w:r>
        <w:rPr>
          <w:rFonts w:eastAsia="Times New Roman"/>
        </w:rPr>
        <w:t>19557 (2022)</w:t>
      </w:r>
      <w:bookmarkEnd w:id="315"/>
    </w:p>
    <w:p w14:paraId="17F0986C" w14:textId="32B8A43A" w:rsidR="00B42DF6" w:rsidRDefault="00B42DF6" w:rsidP="00B42DF6">
      <w:pPr>
        <w:pStyle w:val="Heading4"/>
      </w:pPr>
      <w:r>
        <w:t>Parliamentary Written Question 17438 (2021)</w:t>
      </w:r>
    </w:p>
    <w:p w14:paraId="720E749F" w14:textId="0B355453" w:rsidR="00E1114F" w:rsidRDefault="00E1114F" w:rsidP="00E1114F">
      <w:r>
        <w:t>Jan Logie to the Minister for Disability Issues (01 Jun 2022): How many applications have been received, each year for the last ten years, for Training Support funding? Hon Carmel Sepuloni (Minister for Disability Issues) replied.</w:t>
      </w:r>
      <w:r>
        <w:rPr>
          <w:rStyle w:val="EndnoteReference"/>
          <w:bCs/>
        </w:rPr>
        <w:endnoteReference w:id="57"/>
      </w:r>
    </w:p>
    <w:p w14:paraId="2F9CF771" w14:textId="3DC9A723" w:rsidR="00E1114F" w:rsidRPr="00645109" w:rsidRDefault="00E1114F" w:rsidP="00E1114F">
      <w:pPr>
        <w:pStyle w:val="Caption"/>
      </w:pPr>
      <w:r>
        <w:t xml:space="preserve">Table </w:t>
      </w:r>
      <w:r w:rsidR="00636195">
        <w:t>3</w:t>
      </w:r>
      <w:r>
        <w:t>: (17438) The number of applications for Training Support funding received by the Ministry of Social Development (the Ministry) each year for the last ten years</w:t>
      </w:r>
      <w:r>
        <w:rPr>
          <w:b w:val="0"/>
          <w:bCs/>
        </w:rPr>
        <w:t>.</w:t>
      </w:r>
    </w:p>
    <w:tbl>
      <w:tblPr>
        <w:tblStyle w:val="TableGrid"/>
        <w:tblW w:w="0" w:type="auto"/>
        <w:tblLayout w:type="fixed"/>
        <w:tblLook w:val="06A0" w:firstRow="1" w:lastRow="0" w:firstColumn="1" w:lastColumn="0" w:noHBand="1" w:noVBand="1"/>
      </w:tblPr>
      <w:tblGrid>
        <w:gridCol w:w="3045"/>
        <w:gridCol w:w="3046"/>
      </w:tblGrid>
      <w:tr w:rsidR="00E1114F" w:rsidRPr="004F494E" w14:paraId="4375DA01" w14:textId="77777777" w:rsidTr="00973DD2">
        <w:trPr>
          <w:trHeight w:val="251"/>
        </w:trPr>
        <w:tc>
          <w:tcPr>
            <w:tcW w:w="3045" w:type="dxa"/>
            <w:shd w:val="clear" w:color="auto" w:fill="auto"/>
          </w:tcPr>
          <w:p w14:paraId="33CD714F" w14:textId="77777777" w:rsidR="00E1114F" w:rsidRPr="00F86F36" w:rsidRDefault="00E1114F" w:rsidP="00973DD2">
            <w:pPr>
              <w:spacing w:after="0" w:line="240" w:lineRule="auto"/>
              <w:rPr>
                <w:rFonts w:eastAsia="Calibri" w:cs="Arial"/>
                <w:b/>
                <w:bCs/>
                <w:szCs w:val="24"/>
              </w:rPr>
            </w:pPr>
            <w:r w:rsidRPr="00F86F36">
              <w:rPr>
                <w:rFonts w:eastAsia="Calibri" w:cs="Arial"/>
                <w:b/>
                <w:bCs/>
                <w:szCs w:val="24"/>
              </w:rPr>
              <w:t>Financial year</w:t>
            </w:r>
          </w:p>
        </w:tc>
        <w:tc>
          <w:tcPr>
            <w:tcW w:w="3046" w:type="dxa"/>
            <w:shd w:val="clear" w:color="auto" w:fill="auto"/>
          </w:tcPr>
          <w:p w14:paraId="6B80B392" w14:textId="77777777" w:rsidR="00E1114F" w:rsidRPr="00F86F36" w:rsidRDefault="00E1114F" w:rsidP="00973DD2">
            <w:pPr>
              <w:spacing w:after="0" w:line="240" w:lineRule="auto"/>
              <w:rPr>
                <w:rFonts w:cs="Arial"/>
                <w:b/>
                <w:bCs/>
                <w:szCs w:val="24"/>
              </w:rPr>
            </w:pPr>
            <w:r w:rsidRPr="00F86F36">
              <w:rPr>
                <w:rFonts w:eastAsia="Calibri" w:cs="Arial"/>
                <w:b/>
                <w:bCs/>
                <w:szCs w:val="24"/>
              </w:rPr>
              <w:t>Totals</w:t>
            </w:r>
          </w:p>
        </w:tc>
      </w:tr>
      <w:tr w:rsidR="00E1114F" w:rsidRPr="004F494E" w14:paraId="13A8182E" w14:textId="77777777" w:rsidTr="00973DD2">
        <w:trPr>
          <w:trHeight w:val="251"/>
        </w:trPr>
        <w:tc>
          <w:tcPr>
            <w:tcW w:w="3045" w:type="dxa"/>
          </w:tcPr>
          <w:p w14:paraId="1B393CD8" w14:textId="77777777" w:rsidR="00E1114F" w:rsidRPr="004F494E" w:rsidRDefault="00E1114F" w:rsidP="00973DD2">
            <w:pPr>
              <w:spacing w:after="0" w:line="240" w:lineRule="auto"/>
              <w:rPr>
                <w:rFonts w:eastAsia="Calibri" w:cs="Arial"/>
                <w:szCs w:val="24"/>
              </w:rPr>
            </w:pPr>
            <w:r w:rsidRPr="004F494E">
              <w:rPr>
                <w:rFonts w:eastAsia="Calibri" w:cs="Arial"/>
                <w:szCs w:val="24"/>
              </w:rPr>
              <w:t>2012/13</w:t>
            </w:r>
          </w:p>
        </w:tc>
        <w:tc>
          <w:tcPr>
            <w:tcW w:w="3046" w:type="dxa"/>
          </w:tcPr>
          <w:p w14:paraId="7DDFF432" w14:textId="77777777" w:rsidR="00E1114F" w:rsidRPr="004F494E" w:rsidRDefault="00E1114F" w:rsidP="00973DD2">
            <w:pPr>
              <w:spacing w:after="0" w:line="240" w:lineRule="auto"/>
              <w:jc w:val="right"/>
              <w:rPr>
                <w:rFonts w:eastAsia="Calibri" w:cs="Arial"/>
                <w:szCs w:val="24"/>
              </w:rPr>
            </w:pPr>
            <w:r w:rsidRPr="004F494E">
              <w:rPr>
                <w:rFonts w:eastAsia="Calibri" w:cs="Arial"/>
                <w:szCs w:val="24"/>
              </w:rPr>
              <w:t>699</w:t>
            </w:r>
          </w:p>
        </w:tc>
      </w:tr>
      <w:tr w:rsidR="00E1114F" w:rsidRPr="004F494E" w14:paraId="7C8525BF" w14:textId="77777777" w:rsidTr="00973DD2">
        <w:trPr>
          <w:trHeight w:val="251"/>
        </w:trPr>
        <w:tc>
          <w:tcPr>
            <w:tcW w:w="3045" w:type="dxa"/>
          </w:tcPr>
          <w:p w14:paraId="32B4537C" w14:textId="77777777" w:rsidR="00E1114F" w:rsidRPr="004F494E" w:rsidRDefault="00E1114F" w:rsidP="00973DD2">
            <w:pPr>
              <w:spacing w:after="0" w:line="240" w:lineRule="auto"/>
              <w:rPr>
                <w:rFonts w:eastAsia="Calibri" w:cs="Arial"/>
                <w:szCs w:val="24"/>
              </w:rPr>
            </w:pPr>
            <w:r w:rsidRPr="004F494E">
              <w:rPr>
                <w:rFonts w:eastAsia="Calibri" w:cs="Arial"/>
                <w:szCs w:val="24"/>
              </w:rPr>
              <w:t>2013/14</w:t>
            </w:r>
          </w:p>
        </w:tc>
        <w:tc>
          <w:tcPr>
            <w:tcW w:w="3046" w:type="dxa"/>
          </w:tcPr>
          <w:p w14:paraId="4AF38D6B" w14:textId="77777777" w:rsidR="00E1114F" w:rsidRPr="004F494E" w:rsidRDefault="00E1114F" w:rsidP="00973DD2">
            <w:pPr>
              <w:spacing w:after="0" w:line="240" w:lineRule="auto"/>
              <w:jc w:val="right"/>
              <w:rPr>
                <w:rFonts w:eastAsia="Calibri" w:cs="Arial"/>
                <w:szCs w:val="24"/>
              </w:rPr>
            </w:pPr>
            <w:r w:rsidRPr="004F494E">
              <w:rPr>
                <w:rFonts w:eastAsia="Calibri" w:cs="Arial"/>
                <w:szCs w:val="24"/>
              </w:rPr>
              <w:t>639</w:t>
            </w:r>
          </w:p>
        </w:tc>
      </w:tr>
      <w:tr w:rsidR="00E1114F" w:rsidRPr="004F494E" w14:paraId="5B60F153" w14:textId="77777777" w:rsidTr="00973DD2">
        <w:trPr>
          <w:trHeight w:val="251"/>
        </w:trPr>
        <w:tc>
          <w:tcPr>
            <w:tcW w:w="3045" w:type="dxa"/>
          </w:tcPr>
          <w:p w14:paraId="1B061576" w14:textId="77777777" w:rsidR="00E1114F" w:rsidRPr="004F494E" w:rsidRDefault="00E1114F" w:rsidP="00973DD2">
            <w:pPr>
              <w:spacing w:after="0" w:line="240" w:lineRule="auto"/>
              <w:rPr>
                <w:rFonts w:eastAsia="Calibri" w:cs="Arial"/>
                <w:szCs w:val="24"/>
              </w:rPr>
            </w:pPr>
            <w:r w:rsidRPr="004F494E">
              <w:rPr>
                <w:rFonts w:eastAsia="Calibri" w:cs="Arial"/>
                <w:szCs w:val="24"/>
              </w:rPr>
              <w:t>2014/15</w:t>
            </w:r>
          </w:p>
        </w:tc>
        <w:tc>
          <w:tcPr>
            <w:tcW w:w="3046" w:type="dxa"/>
          </w:tcPr>
          <w:p w14:paraId="53721A1F" w14:textId="77777777" w:rsidR="00E1114F" w:rsidRPr="004F494E" w:rsidRDefault="00E1114F" w:rsidP="00973DD2">
            <w:pPr>
              <w:spacing w:after="0" w:line="240" w:lineRule="auto"/>
              <w:jc w:val="right"/>
              <w:rPr>
                <w:rFonts w:eastAsia="Calibri" w:cs="Arial"/>
                <w:szCs w:val="24"/>
              </w:rPr>
            </w:pPr>
            <w:r w:rsidRPr="004F494E">
              <w:rPr>
                <w:rFonts w:eastAsia="Calibri" w:cs="Arial"/>
                <w:szCs w:val="24"/>
              </w:rPr>
              <w:t>678</w:t>
            </w:r>
          </w:p>
        </w:tc>
      </w:tr>
      <w:tr w:rsidR="00E1114F" w:rsidRPr="004F494E" w14:paraId="55C131B7" w14:textId="77777777" w:rsidTr="00973DD2">
        <w:trPr>
          <w:trHeight w:val="251"/>
        </w:trPr>
        <w:tc>
          <w:tcPr>
            <w:tcW w:w="3045" w:type="dxa"/>
          </w:tcPr>
          <w:p w14:paraId="3116E3BB" w14:textId="77777777" w:rsidR="00E1114F" w:rsidRPr="004F494E" w:rsidRDefault="00E1114F" w:rsidP="00973DD2">
            <w:pPr>
              <w:spacing w:after="0" w:line="240" w:lineRule="auto"/>
              <w:rPr>
                <w:rFonts w:eastAsia="Calibri" w:cs="Arial"/>
                <w:szCs w:val="24"/>
              </w:rPr>
            </w:pPr>
            <w:r w:rsidRPr="004F494E">
              <w:rPr>
                <w:rFonts w:eastAsia="Calibri" w:cs="Arial"/>
                <w:szCs w:val="24"/>
              </w:rPr>
              <w:t>2015/16</w:t>
            </w:r>
          </w:p>
        </w:tc>
        <w:tc>
          <w:tcPr>
            <w:tcW w:w="3046" w:type="dxa"/>
          </w:tcPr>
          <w:p w14:paraId="562B49F5" w14:textId="77777777" w:rsidR="00E1114F" w:rsidRPr="004F494E" w:rsidRDefault="00E1114F" w:rsidP="00973DD2">
            <w:pPr>
              <w:spacing w:after="0" w:line="240" w:lineRule="auto"/>
              <w:jc w:val="right"/>
              <w:rPr>
                <w:rFonts w:eastAsia="Calibri" w:cs="Arial"/>
                <w:szCs w:val="24"/>
              </w:rPr>
            </w:pPr>
            <w:r w:rsidRPr="004F494E">
              <w:rPr>
                <w:rFonts w:eastAsia="Calibri" w:cs="Arial"/>
                <w:szCs w:val="24"/>
              </w:rPr>
              <w:t>570</w:t>
            </w:r>
          </w:p>
        </w:tc>
      </w:tr>
      <w:tr w:rsidR="00E1114F" w:rsidRPr="004F494E" w14:paraId="47EFF453" w14:textId="77777777" w:rsidTr="00973DD2">
        <w:trPr>
          <w:trHeight w:val="251"/>
        </w:trPr>
        <w:tc>
          <w:tcPr>
            <w:tcW w:w="3045" w:type="dxa"/>
          </w:tcPr>
          <w:p w14:paraId="6F9D2107" w14:textId="77777777" w:rsidR="00E1114F" w:rsidRPr="004F494E" w:rsidRDefault="00E1114F" w:rsidP="00973DD2">
            <w:pPr>
              <w:spacing w:after="0" w:line="240" w:lineRule="auto"/>
              <w:rPr>
                <w:rFonts w:eastAsia="Calibri" w:cs="Arial"/>
                <w:szCs w:val="24"/>
              </w:rPr>
            </w:pPr>
            <w:r w:rsidRPr="004F494E">
              <w:rPr>
                <w:rFonts w:eastAsia="Calibri" w:cs="Arial"/>
                <w:szCs w:val="24"/>
              </w:rPr>
              <w:t>2016/17</w:t>
            </w:r>
          </w:p>
        </w:tc>
        <w:tc>
          <w:tcPr>
            <w:tcW w:w="3046" w:type="dxa"/>
          </w:tcPr>
          <w:p w14:paraId="7A090ACB" w14:textId="77777777" w:rsidR="00E1114F" w:rsidRPr="004F494E" w:rsidRDefault="00E1114F" w:rsidP="00973DD2">
            <w:pPr>
              <w:spacing w:after="0" w:line="240" w:lineRule="auto"/>
              <w:jc w:val="right"/>
              <w:rPr>
                <w:rFonts w:eastAsia="Calibri" w:cs="Arial"/>
                <w:szCs w:val="24"/>
              </w:rPr>
            </w:pPr>
            <w:r w:rsidRPr="004F494E">
              <w:rPr>
                <w:rFonts w:eastAsia="Calibri" w:cs="Arial"/>
                <w:szCs w:val="24"/>
              </w:rPr>
              <w:t>594</w:t>
            </w:r>
          </w:p>
        </w:tc>
      </w:tr>
      <w:tr w:rsidR="00E1114F" w:rsidRPr="004F494E" w14:paraId="325F9DE4" w14:textId="77777777" w:rsidTr="00973DD2">
        <w:trPr>
          <w:trHeight w:val="269"/>
        </w:trPr>
        <w:tc>
          <w:tcPr>
            <w:tcW w:w="3045" w:type="dxa"/>
          </w:tcPr>
          <w:p w14:paraId="5B7CE141" w14:textId="77777777" w:rsidR="00E1114F" w:rsidRPr="004F494E" w:rsidRDefault="00E1114F" w:rsidP="00973DD2">
            <w:pPr>
              <w:spacing w:after="0" w:line="240" w:lineRule="auto"/>
              <w:rPr>
                <w:rFonts w:eastAsia="Calibri" w:cs="Arial"/>
                <w:szCs w:val="24"/>
              </w:rPr>
            </w:pPr>
            <w:r w:rsidRPr="004F494E">
              <w:rPr>
                <w:rFonts w:eastAsia="Calibri" w:cs="Arial"/>
                <w:szCs w:val="24"/>
              </w:rPr>
              <w:t>2017/18</w:t>
            </w:r>
          </w:p>
        </w:tc>
        <w:tc>
          <w:tcPr>
            <w:tcW w:w="3046" w:type="dxa"/>
          </w:tcPr>
          <w:p w14:paraId="60DA50EE" w14:textId="77777777" w:rsidR="00E1114F" w:rsidRPr="004F494E" w:rsidRDefault="00E1114F" w:rsidP="00973DD2">
            <w:pPr>
              <w:spacing w:after="0" w:line="240" w:lineRule="auto"/>
              <w:jc w:val="right"/>
              <w:rPr>
                <w:rFonts w:eastAsia="Calibri" w:cs="Arial"/>
                <w:szCs w:val="24"/>
              </w:rPr>
            </w:pPr>
            <w:r w:rsidRPr="004F494E">
              <w:rPr>
                <w:rFonts w:eastAsia="Calibri" w:cs="Arial"/>
                <w:szCs w:val="24"/>
              </w:rPr>
              <w:t>588</w:t>
            </w:r>
          </w:p>
        </w:tc>
      </w:tr>
      <w:tr w:rsidR="00E1114F" w:rsidRPr="004F494E" w14:paraId="7B86630E" w14:textId="77777777" w:rsidTr="00973DD2">
        <w:trPr>
          <w:trHeight w:val="251"/>
        </w:trPr>
        <w:tc>
          <w:tcPr>
            <w:tcW w:w="3045" w:type="dxa"/>
          </w:tcPr>
          <w:p w14:paraId="19390F18" w14:textId="77777777" w:rsidR="00E1114F" w:rsidRPr="004F494E" w:rsidRDefault="00E1114F" w:rsidP="00973DD2">
            <w:pPr>
              <w:spacing w:after="0" w:line="240" w:lineRule="auto"/>
              <w:rPr>
                <w:rFonts w:eastAsia="Calibri" w:cs="Arial"/>
                <w:szCs w:val="24"/>
              </w:rPr>
            </w:pPr>
            <w:r w:rsidRPr="004F494E">
              <w:rPr>
                <w:rFonts w:eastAsia="Calibri" w:cs="Arial"/>
                <w:szCs w:val="24"/>
              </w:rPr>
              <w:t>2018/19</w:t>
            </w:r>
          </w:p>
        </w:tc>
        <w:tc>
          <w:tcPr>
            <w:tcW w:w="3046" w:type="dxa"/>
          </w:tcPr>
          <w:p w14:paraId="3D04C856" w14:textId="77777777" w:rsidR="00E1114F" w:rsidRPr="004F494E" w:rsidRDefault="00E1114F" w:rsidP="00973DD2">
            <w:pPr>
              <w:spacing w:after="0" w:line="240" w:lineRule="auto"/>
              <w:jc w:val="right"/>
              <w:rPr>
                <w:rFonts w:eastAsia="Calibri" w:cs="Arial"/>
                <w:szCs w:val="24"/>
              </w:rPr>
            </w:pPr>
            <w:r w:rsidRPr="004F494E">
              <w:rPr>
                <w:rFonts w:eastAsia="Calibri" w:cs="Arial"/>
                <w:szCs w:val="24"/>
              </w:rPr>
              <w:t>324</w:t>
            </w:r>
          </w:p>
        </w:tc>
      </w:tr>
      <w:tr w:rsidR="00E1114F" w:rsidRPr="004F494E" w14:paraId="320B077B" w14:textId="77777777" w:rsidTr="00973DD2">
        <w:trPr>
          <w:trHeight w:val="251"/>
        </w:trPr>
        <w:tc>
          <w:tcPr>
            <w:tcW w:w="3045" w:type="dxa"/>
          </w:tcPr>
          <w:p w14:paraId="6D930BCA" w14:textId="77777777" w:rsidR="00E1114F" w:rsidRPr="004F494E" w:rsidRDefault="00E1114F" w:rsidP="00973DD2">
            <w:pPr>
              <w:spacing w:after="0" w:line="240" w:lineRule="auto"/>
              <w:rPr>
                <w:rFonts w:eastAsia="Calibri" w:cs="Arial"/>
                <w:szCs w:val="24"/>
              </w:rPr>
            </w:pPr>
            <w:r w:rsidRPr="004F494E">
              <w:rPr>
                <w:rFonts w:eastAsia="Calibri" w:cs="Arial"/>
                <w:szCs w:val="24"/>
              </w:rPr>
              <w:t>2019/20</w:t>
            </w:r>
          </w:p>
        </w:tc>
        <w:tc>
          <w:tcPr>
            <w:tcW w:w="3046" w:type="dxa"/>
          </w:tcPr>
          <w:p w14:paraId="3D384064" w14:textId="77777777" w:rsidR="00E1114F" w:rsidRPr="004F494E" w:rsidRDefault="00E1114F" w:rsidP="00973DD2">
            <w:pPr>
              <w:spacing w:after="0" w:line="240" w:lineRule="auto"/>
              <w:jc w:val="right"/>
              <w:rPr>
                <w:rFonts w:eastAsia="Calibri" w:cs="Arial"/>
                <w:szCs w:val="24"/>
              </w:rPr>
            </w:pPr>
            <w:r w:rsidRPr="004F494E">
              <w:rPr>
                <w:rFonts w:eastAsia="Calibri" w:cs="Arial"/>
                <w:szCs w:val="24"/>
              </w:rPr>
              <w:t>129</w:t>
            </w:r>
          </w:p>
        </w:tc>
      </w:tr>
      <w:tr w:rsidR="00E1114F" w:rsidRPr="004F494E" w14:paraId="3CB9DAC6" w14:textId="77777777" w:rsidTr="00973DD2">
        <w:trPr>
          <w:trHeight w:val="251"/>
        </w:trPr>
        <w:tc>
          <w:tcPr>
            <w:tcW w:w="3045" w:type="dxa"/>
          </w:tcPr>
          <w:p w14:paraId="6C2ADAA3" w14:textId="77777777" w:rsidR="00E1114F" w:rsidRPr="004F494E" w:rsidRDefault="00E1114F" w:rsidP="00973DD2">
            <w:pPr>
              <w:spacing w:after="0" w:line="240" w:lineRule="auto"/>
              <w:rPr>
                <w:rFonts w:eastAsia="Calibri" w:cs="Arial"/>
                <w:szCs w:val="24"/>
              </w:rPr>
            </w:pPr>
            <w:r w:rsidRPr="004F494E">
              <w:rPr>
                <w:rFonts w:eastAsia="Calibri" w:cs="Arial"/>
                <w:szCs w:val="24"/>
              </w:rPr>
              <w:t>2020/21</w:t>
            </w:r>
          </w:p>
        </w:tc>
        <w:tc>
          <w:tcPr>
            <w:tcW w:w="3046" w:type="dxa"/>
          </w:tcPr>
          <w:p w14:paraId="4312A111" w14:textId="77777777" w:rsidR="00E1114F" w:rsidRPr="004F494E" w:rsidRDefault="00E1114F" w:rsidP="00973DD2">
            <w:pPr>
              <w:spacing w:after="0" w:line="240" w:lineRule="auto"/>
              <w:jc w:val="right"/>
              <w:rPr>
                <w:rFonts w:eastAsia="Calibri" w:cs="Arial"/>
                <w:szCs w:val="24"/>
              </w:rPr>
            </w:pPr>
            <w:r w:rsidRPr="004F494E">
              <w:rPr>
                <w:rFonts w:eastAsia="Calibri" w:cs="Arial"/>
                <w:szCs w:val="24"/>
              </w:rPr>
              <w:t>96</w:t>
            </w:r>
          </w:p>
        </w:tc>
      </w:tr>
      <w:tr w:rsidR="00E1114F" w:rsidRPr="004F494E" w14:paraId="20AB5460" w14:textId="77777777" w:rsidTr="00973DD2">
        <w:trPr>
          <w:trHeight w:val="251"/>
        </w:trPr>
        <w:tc>
          <w:tcPr>
            <w:tcW w:w="3045" w:type="dxa"/>
          </w:tcPr>
          <w:p w14:paraId="410AB05A" w14:textId="77777777" w:rsidR="00E1114F" w:rsidRPr="004F494E" w:rsidRDefault="00E1114F" w:rsidP="00973DD2">
            <w:pPr>
              <w:tabs>
                <w:tab w:val="left" w:pos="1794"/>
              </w:tabs>
              <w:spacing w:after="0" w:line="240" w:lineRule="auto"/>
              <w:rPr>
                <w:rFonts w:eastAsia="Calibri" w:cs="Arial"/>
                <w:szCs w:val="24"/>
              </w:rPr>
            </w:pPr>
            <w:r w:rsidRPr="004F494E">
              <w:rPr>
                <w:rFonts w:eastAsia="Calibri" w:cs="Arial"/>
                <w:szCs w:val="24"/>
              </w:rPr>
              <w:t>2021/22</w:t>
            </w:r>
            <w:r>
              <w:rPr>
                <w:rFonts w:eastAsia="Calibri" w:cs="Arial"/>
                <w:szCs w:val="24"/>
              </w:rPr>
              <w:t xml:space="preserve"> </w:t>
            </w:r>
            <w:r>
              <w:t>as at 31/3/22</w:t>
            </w:r>
          </w:p>
        </w:tc>
        <w:tc>
          <w:tcPr>
            <w:tcW w:w="3046" w:type="dxa"/>
          </w:tcPr>
          <w:p w14:paraId="521C3F0A" w14:textId="77777777" w:rsidR="00E1114F" w:rsidRPr="004F494E" w:rsidRDefault="00E1114F" w:rsidP="00973DD2">
            <w:pPr>
              <w:spacing w:after="0" w:line="240" w:lineRule="auto"/>
              <w:jc w:val="right"/>
              <w:rPr>
                <w:rFonts w:eastAsia="Calibri" w:cs="Arial"/>
                <w:szCs w:val="24"/>
              </w:rPr>
            </w:pPr>
            <w:r w:rsidRPr="004F494E">
              <w:rPr>
                <w:rFonts w:eastAsia="Calibri" w:cs="Arial"/>
                <w:szCs w:val="24"/>
              </w:rPr>
              <w:t>33</w:t>
            </w:r>
          </w:p>
        </w:tc>
      </w:tr>
    </w:tbl>
    <w:p w14:paraId="129A2D4A" w14:textId="77777777" w:rsidR="00297986" w:rsidRDefault="00297986" w:rsidP="00CA2929"/>
    <w:p w14:paraId="64BA4641" w14:textId="6DBC59E3" w:rsidR="00B42DF6" w:rsidRDefault="00B42DF6" w:rsidP="00B42DF6">
      <w:pPr>
        <w:pStyle w:val="Heading4"/>
      </w:pPr>
      <w:r>
        <w:lastRenderedPageBreak/>
        <w:t xml:space="preserve">Parliamentary Written Question </w:t>
      </w:r>
      <w:r w:rsidR="00CA2929" w:rsidRPr="00CA2929">
        <w:t>19557 (2022)</w:t>
      </w:r>
    </w:p>
    <w:p w14:paraId="07B9366F" w14:textId="3F50D4C7" w:rsidR="00153CEB" w:rsidRDefault="00CA2929" w:rsidP="00CA2929">
      <w:r w:rsidRPr="00CA2929">
        <w:t>Jan Logie to the Minister for Disability Issues (15 Jun 2022): How many individuals have received Training Support funding, each year for the last ten years?</w:t>
      </w:r>
      <w:r w:rsidR="00153CEB">
        <w:t xml:space="preserve"> </w:t>
      </w:r>
      <w:r w:rsidRPr="00CA2929">
        <w:t>Hon Poto Williams (Minister for Disability Issues) replied:</w:t>
      </w:r>
      <w:r w:rsidR="00B522B5">
        <w:rPr>
          <w:rStyle w:val="EndnoteReference"/>
        </w:rPr>
        <w:endnoteReference w:id="58"/>
      </w:r>
    </w:p>
    <w:p w14:paraId="47708F68" w14:textId="5A2ECE61" w:rsidR="000F4082" w:rsidRDefault="00153CEB" w:rsidP="00CA2929">
      <w:r>
        <w:t>“</w:t>
      </w:r>
      <w:r w:rsidR="00CA2929" w:rsidRPr="00CA2929">
        <w:t>I am advised by the Ministry of Social Development (the Ministry) that information concerning the number of applications for Training Support funding and Job Support funding is not centrally recorded. In order to compile this information, the Ministry would be required to undertake substantial manual collation and divert staff from their core duties. In accordance with Speaker’s Ruling 185-4, I consider that the time, and hence the expense, of answering the Member’s question is not in the public interest.</w:t>
      </w:r>
      <w:r>
        <w:t>”</w:t>
      </w:r>
    </w:p>
    <w:p w14:paraId="2517ABA2" w14:textId="77777777" w:rsidR="00B42DF6" w:rsidRDefault="00B42DF6">
      <w:pPr>
        <w:spacing w:after="160" w:line="259" w:lineRule="auto"/>
        <w:rPr>
          <w:rFonts w:eastAsiaTheme="majorEastAsia" w:cstheme="majorBidi"/>
          <w:color w:val="29797F"/>
          <w:sz w:val="72"/>
          <w:szCs w:val="32"/>
        </w:rPr>
      </w:pPr>
      <w:r>
        <w:br w:type="page"/>
      </w:r>
    </w:p>
    <w:p w14:paraId="262370DB" w14:textId="5926159A" w:rsidR="00D32EED" w:rsidRPr="001D0A95" w:rsidRDefault="00D32EED" w:rsidP="00352F98">
      <w:pPr>
        <w:pStyle w:val="Heading1"/>
        <w:spacing w:after="0"/>
      </w:pPr>
      <w:bookmarkStart w:id="316" w:name="_Toc133076295"/>
      <w:r>
        <w:lastRenderedPageBreak/>
        <w:t>References</w:t>
      </w:r>
      <w:bookmarkEnd w:id="5"/>
      <w:bookmarkEnd w:id="6"/>
      <w:bookmarkEnd w:id="7"/>
      <w:bookmarkEnd w:id="8"/>
      <w:bookmarkEnd w:id="316"/>
    </w:p>
    <w:sectPr w:rsidR="00D32EED" w:rsidRPr="001D0A95" w:rsidSect="00B7707A">
      <w:headerReference w:type="default" r:id="rId14"/>
      <w:endnotePr>
        <w:numFmt w:val="decimal"/>
      </w:end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E642" w14:textId="77777777" w:rsidR="00FD73E5" w:rsidRPr="00866D3E" w:rsidRDefault="00FD73E5" w:rsidP="00866D3E">
      <w:pPr>
        <w:pStyle w:val="Footer"/>
      </w:pPr>
    </w:p>
  </w:endnote>
  <w:endnote w:type="continuationSeparator" w:id="0">
    <w:p w14:paraId="51D6CB65" w14:textId="77777777" w:rsidR="00FD73E5" w:rsidRPr="00642B49" w:rsidRDefault="00FD73E5" w:rsidP="00642B49">
      <w:pPr>
        <w:pStyle w:val="Footer"/>
      </w:pPr>
    </w:p>
  </w:endnote>
  <w:endnote w:type="continuationNotice" w:id="1">
    <w:p w14:paraId="6543CD12" w14:textId="77777777" w:rsidR="00FD73E5" w:rsidRPr="00642B49" w:rsidRDefault="00FD73E5" w:rsidP="00642B49">
      <w:pPr>
        <w:pStyle w:val="Footer"/>
      </w:pPr>
    </w:p>
  </w:endnote>
  <w:endnote w:id="2">
    <w:p w14:paraId="5828CF14" w14:textId="3BCFF0FA" w:rsidR="00CB25A1" w:rsidRPr="005B704F" w:rsidRDefault="00CB25A1" w:rsidP="00352F98">
      <w:pPr>
        <w:pStyle w:val="EndnoteText"/>
        <w:spacing w:after="240"/>
        <w:ind w:left="567" w:hanging="567"/>
        <w:rPr>
          <w:sz w:val="24"/>
          <w:szCs w:val="24"/>
          <w:lang w:val="en-US"/>
        </w:rPr>
      </w:pPr>
      <w:r w:rsidRPr="005B704F">
        <w:rPr>
          <w:rStyle w:val="EndnoteReference"/>
          <w:sz w:val="24"/>
          <w:szCs w:val="24"/>
          <w:vertAlign w:val="baseline"/>
        </w:rPr>
        <w:endnoteRef/>
      </w:r>
      <w:r w:rsidRPr="005B704F">
        <w:rPr>
          <w:sz w:val="24"/>
          <w:szCs w:val="24"/>
        </w:rPr>
        <w:t xml:space="preserve"> </w:t>
      </w:r>
      <w:r w:rsidR="005B704F">
        <w:rPr>
          <w:sz w:val="24"/>
          <w:szCs w:val="24"/>
        </w:rPr>
        <w:tab/>
      </w:r>
      <w:r w:rsidR="005A647D" w:rsidRPr="005B704F">
        <w:rPr>
          <w:sz w:val="24"/>
          <w:szCs w:val="24"/>
        </w:rPr>
        <w:t xml:space="preserve">Reserve Bank of New Zealand. (2023). </w:t>
      </w:r>
      <w:r w:rsidR="005A647D" w:rsidRPr="005B704F">
        <w:rPr>
          <w:i/>
          <w:iCs/>
          <w:sz w:val="24"/>
          <w:szCs w:val="24"/>
        </w:rPr>
        <w:t>Inflation Calculator</w:t>
      </w:r>
      <w:r w:rsidR="005B704F" w:rsidRPr="005B704F">
        <w:rPr>
          <w:i/>
          <w:iCs/>
          <w:sz w:val="24"/>
          <w:szCs w:val="24"/>
        </w:rPr>
        <w:t>: 1994 Q4 compared with 2022 Q4.</w:t>
      </w:r>
      <w:r w:rsidR="005A647D" w:rsidRPr="005B704F">
        <w:rPr>
          <w:sz w:val="24"/>
          <w:szCs w:val="24"/>
        </w:rPr>
        <w:t xml:space="preserve"> Retrieved from:</w:t>
      </w:r>
      <w:r w:rsidR="005B704F" w:rsidRPr="005B704F">
        <w:rPr>
          <w:sz w:val="24"/>
          <w:szCs w:val="24"/>
        </w:rPr>
        <w:t xml:space="preserve"> </w:t>
      </w:r>
      <w:r w:rsidRPr="005B704F">
        <w:rPr>
          <w:sz w:val="24"/>
          <w:szCs w:val="24"/>
        </w:rPr>
        <w:t>https://www.rbnz.govt.nz/monetary-policy/about-monetary-policy/inflation-calculator</w:t>
      </w:r>
    </w:p>
  </w:endnote>
  <w:endnote w:id="3">
    <w:p w14:paraId="77246BEA" w14:textId="16D6D5D2" w:rsidR="00156943" w:rsidRPr="00523D02" w:rsidRDefault="00156943" w:rsidP="00352F98">
      <w:pPr>
        <w:pStyle w:val="EndnoteText"/>
        <w:spacing w:after="240"/>
        <w:ind w:left="567" w:hanging="567"/>
        <w:rPr>
          <w:rFonts w:cs="Arial"/>
          <w:sz w:val="24"/>
          <w:szCs w:val="24"/>
          <w:lang w:val="en-US"/>
        </w:rPr>
      </w:pPr>
      <w:r w:rsidRPr="005B704F">
        <w:rPr>
          <w:rStyle w:val="EndnoteReference"/>
          <w:rFonts w:cs="Arial"/>
          <w:sz w:val="24"/>
          <w:szCs w:val="24"/>
          <w:vertAlign w:val="baseline"/>
        </w:rPr>
        <w:endnoteRef/>
      </w:r>
      <w:r w:rsidRPr="005B704F">
        <w:rPr>
          <w:rFonts w:cs="Arial"/>
          <w:sz w:val="24"/>
          <w:szCs w:val="24"/>
        </w:rPr>
        <w:t xml:space="preserve"> </w:t>
      </w:r>
      <w:r w:rsidRPr="005B704F">
        <w:rPr>
          <w:rFonts w:cs="Arial"/>
          <w:sz w:val="24"/>
          <w:szCs w:val="24"/>
        </w:rPr>
        <w:tab/>
        <w:t>Ministry</w:t>
      </w:r>
      <w:r w:rsidRPr="00687190">
        <w:rPr>
          <w:rFonts w:cs="Arial"/>
          <w:sz w:val="24"/>
          <w:szCs w:val="24"/>
        </w:rPr>
        <w:t xml:space="preserve"> of Social Development. (2022). </w:t>
      </w:r>
      <w:r w:rsidR="004E6DD2" w:rsidRPr="00833A99">
        <w:rPr>
          <w:rFonts w:cs="Arial"/>
          <w:i/>
          <w:iCs/>
          <w:sz w:val="24"/>
          <w:szCs w:val="24"/>
        </w:rPr>
        <w:t>Changes to the management of Job and Training Support Funds for the disability community.</w:t>
      </w:r>
      <w:r w:rsidR="004E6DD2" w:rsidRPr="00687190">
        <w:rPr>
          <w:rFonts w:cs="Arial"/>
          <w:sz w:val="24"/>
          <w:szCs w:val="24"/>
        </w:rPr>
        <w:t xml:space="preserve"> Retrieved from: </w:t>
      </w:r>
      <w:r w:rsidRPr="00687190">
        <w:rPr>
          <w:rFonts w:cs="Arial"/>
          <w:sz w:val="24"/>
          <w:szCs w:val="24"/>
        </w:rPr>
        <w:t>https://www.msd.govt.nz/about-msd-and-our-work/newsroom/2022/changes-to-the-management-of-job-and-training-support-funds-for-the-disability-</w:t>
      </w:r>
      <w:r w:rsidRPr="00523D02">
        <w:rPr>
          <w:rFonts w:cs="Arial"/>
          <w:sz w:val="24"/>
          <w:szCs w:val="24"/>
        </w:rPr>
        <w:t>community.html</w:t>
      </w:r>
    </w:p>
  </w:endnote>
  <w:endnote w:id="4">
    <w:p w14:paraId="40A98C02" w14:textId="554797A3" w:rsidR="00EC6143" w:rsidRPr="00523D02" w:rsidRDefault="00EC6143" w:rsidP="00352F98">
      <w:pPr>
        <w:spacing w:line="240" w:lineRule="auto"/>
        <w:ind w:left="567" w:hanging="567"/>
        <w:rPr>
          <w:szCs w:val="24"/>
          <w:lang w:val="en-US"/>
        </w:rPr>
      </w:pPr>
      <w:r w:rsidRPr="00523D02">
        <w:rPr>
          <w:rStyle w:val="EndnoteReference"/>
          <w:rFonts w:cs="Arial"/>
          <w:szCs w:val="24"/>
          <w:vertAlign w:val="baseline"/>
        </w:rPr>
        <w:endnoteRef/>
      </w:r>
      <w:r w:rsidR="00BE7DA0">
        <w:rPr>
          <w:rFonts w:cs="Arial"/>
          <w:szCs w:val="24"/>
        </w:rPr>
        <w:t xml:space="preserve"> </w:t>
      </w:r>
      <w:r w:rsidRPr="00523D02">
        <w:rPr>
          <w:rFonts w:cs="Arial"/>
          <w:szCs w:val="24"/>
        </w:rPr>
        <w:tab/>
      </w:r>
      <w:bookmarkStart w:id="4" w:name="_Hlk112322689"/>
      <w:r w:rsidRPr="00523D02">
        <w:rPr>
          <w:rFonts w:cs="Arial"/>
          <w:szCs w:val="24"/>
        </w:rPr>
        <w:t xml:space="preserve">Workbridge. (2022). </w:t>
      </w:r>
      <w:r w:rsidRPr="00523D02">
        <w:rPr>
          <w:rFonts w:cs="Arial"/>
          <w:i/>
          <w:iCs/>
          <w:szCs w:val="24"/>
        </w:rPr>
        <w:t>Job Support Application Form</w:t>
      </w:r>
      <w:r w:rsidRPr="00523D02">
        <w:rPr>
          <w:rFonts w:cs="Arial"/>
          <w:szCs w:val="24"/>
        </w:rPr>
        <w:t xml:space="preserve">. Retrieved from: </w:t>
      </w:r>
      <w:r w:rsidRPr="00523D02">
        <w:rPr>
          <w:rFonts w:cs="Arial"/>
          <w:szCs w:val="24"/>
          <w:lang w:eastAsia="en-NZ"/>
        </w:rPr>
        <w:t>https://supportfunds</w:t>
      </w:r>
      <w:r w:rsidRPr="00523D02">
        <w:rPr>
          <w:szCs w:val="24"/>
          <w:lang w:eastAsia="en-NZ"/>
        </w:rPr>
        <w:t>.co.nz/wp-content/uploads/2021/10/WOR241J-Job-Support-Application-Apr-17.pd</w:t>
      </w:r>
      <w:bookmarkEnd w:id="4"/>
      <w:r w:rsidRPr="00523D02">
        <w:rPr>
          <w:szCs w:val="24"/>
          <w:lang w:eastAsia="en-NZ"/>
        </w:rPr>
        <w:t>f</w:t>
      </w:r>
    </w:p>
  </w:endnote>
  <w:endnote w:id="5">
    <w:p w14:paraId="436D0DA8" w14:textId="7B5827C9" w:rsidR="00EC6143" w:rsidRPr="00523D02" w:rsidRDefault="00EC6143" w:rsidP="00352F98">
      <w:pPr>
        <w:spacing w:line="240" w:lineRule="auto"/>
        <w:ind w:left="567" w:hanging="567"/>
        <w:rPr>
          <w:szCs w:val="24"/>
        </w:rPr>
      </w:pPr>
      <w:r w:rsidRPr="00523D02">
        <w:rPr>
          <w:rStyle w:val="EndnoteReference"/>
          <w:szCs w:val="24"/>
          <w:vertAlign w:val="baseline"/>
        </w:rPr>
        <w:endnoteRef/>
      </w:r>
      <w:r w:rsidR="00BE7DA0">
        <w:rPr>
          <w:szCs w:val="24"/>
        </w:rPr>
        <w:t xml:space="preserve"> </w:t>
      </w:r>
      <w:r w:rsidRPr="00523D02">
        <w:rPr>
          <w:szCs w:val="24"/>
        </w:rPr>
        <w:tab/>
        <w:t xml:space="preserve">Workbridge. (2022). </w:t>
      </w:r>
      <w:r w:rsidRPr="00523D02">
        <w:rPr>
          <w:i/>
          <w:iCs/>
          <w:szCs w:val="24"/>
        </w:rPr>
        <w:t>Training Support Application Form</w:t>
      </w:r>
      <w:r w:rsidRPr="00523D02">
        <w:rPr>
          <w:szCs w:val="24"/>
        </w:rPr>
        <w:t>. Retrieved from: https://supportfunds.co.nz/wp-content/uploads/2021/10/WOR241T-Training-Support-Accessible-Aug2013.pdf</w:t>
      </w:r>
    </w:p>
  </w:endnote>
  <w:endnote w:id="6">
    <w:p w14:paraId="74AC31B0" w14:textId="176B4BD1" w:rsidR="00024A6B" w:rsidRPr="00523D02" w:rsidRDefault="00024A6B" w:rsidP="00352F98">
      <w:pPr>
        <w:pStyle w:val="EndnoteText"/>
        <w:spacing w:after="240"/>
        <w:ind w:left="567" w:hanging="567"/>
        <w:rPr>
          <w:sz w:val="24"/>
          <w:szCs w:val="24"/>
          <w:lang w:val="en-US"/>
        </w:rPr>
      </w:pPr>
      <w:r w:rsidRPr="00523D02">
        <w:rPr>
          <w:rStyle w:val="EndnoteReference"/>
          <w:sz w:val="24"/>
          <w:szCs w:val="24"/>
          <w:vertAlign w:val="baseline"/>
        </w:rPr>
        <w:endnoteRef/>
      </w:r>
      <w:r w:rsidRPr="00523D02">
        <w:rPr>
          <w:sz w:val="24"/>
          <w:szCs w:val="24"/>
        </w:rPr>
        <w:t xml:space="preserve"> </w:t>
      </w:r>
      <w:r w:rsidR="00523D02" w:rsidRPr="00523D02">
        <w:rPr>
          <w:sz w:val="24"/>
          <w:szCs w:val="24"/>
        </w:rPr>
        <w:tab/>
      </w:r>
      <w:r w:rsidRPr="00523D02">
        <w:rPr>
          <w:sz w:val="24"/>
          <w:szCs w:val="24"/>
        </w:rPr>
        <w:t xml:space="preserve">Ministry of Social Development. </w:t>
      </w:r>
      <w:r w:rsidRPr="00752D41">
        <w:rPr>
          <w:i/>
          <w:iCs/>
          <w:sz w:val="24"/>
          <w:szCs w:val="24"/>
        </w:rPr>
        <w:t>(2023) Job and Training Support Funds.</w:t>
      </w:r>
      <w:r w:rsidRPr="00523D02">
        <w:rPr>
          <w:sz w:val="24"/>
          <w:szCs w:val="24"/>
        </w:rPr>
        <w:t xml:space="preserve"> Retrieved from: https://www.workandincome.govt.nz/work/health-and-disability-job-support/job-and-training-support-funds.html</w:t>
      </w:r>
    </w:p>
  </w:endnote>
  <w:endnote w:id="7">
    <w:p w14:paraId="33A539E7" w14:textId="0A4843A8" w:rsidR="00B829D9" w:rsidRPr="00523D02" w:rsidRDefault="00B829D9" w:rsidP="00352F98">
      <w:pPr>
        <w:pStyle w:val="EndnoteText"/>
        <w:spacing w:after="240"/>
        <w:ind w:left="567" w:hanging="567"/>
        <w:rPr>
          <w:sz w:val="24"/>
          <w:szCs w:val="24"/>
          <w:lang w:val="en-US"/>
        </w:rPr>
      </w:pPr>
      <w:r w:rsidRPr="00523D02">
        <w:rPr>
          <w:rStyle w:val="EndnoteReference"/>
          <w:sz w:val="24"/>
          <w:szCs w:val="24"/>
          <w:vertAlign w:val="baseline"/>
        </w:rPr>
        <w:endnoteRef/>
      </w:r>
      <w:r w:rsidRPr="00523D02">
        <w:rPr>
          <w:sz w:val="24"/>
          <w:szCs w:val="24"/>
        </w:rPr>
        <w:t xml:space="preserve"> </w:t>
      </w:r>
      <w:r w:rsidR="00523D02" w:rsidRPr="00523D02">
        <w:rPr>
          <w:sz w:val="24"/>
          <w:szCs w:val="24"/>
        </w:rPr>
        <w:tab/>
      </w:r>
      <w:r w:rsidRPr="00523D02">
        <w:rPr>
          <w:sz w:val="24"/>
          <w:szCs w:val="24"/>
        </w:rPr>
        <w:t xml:space="preserve">Ministry of Social Development. </w:t>
      </w:r>
      <w:r w:rsidRPr="00752D41">
        <w:rPr>
          <w:i/>
          <w:iCs/>
          <w:sz w:val="24"/>
          <w:szCs w:val="24"/>
        </w:rPr>
        <w:t>(2023) Job and Training Support Funds.</w:t>
      </w:r>
      <w:r w:rsidRPr="00523D02">
        <w:rPr>
          <w:sz w:val="24"/>
          <w:szCs w:val="24"/>
        </w:rPr>
        <w:t xml:space="preserve"> Retrieved from: https://www.workandincome.govt.nz/work/health-and-disability-job-support/job-and-training-support-funds.html</w:t>
      </w:r>
    </w:p>
  </w:endnote>
  <w:endnote w:id="8">
    <w:p w14:paraId="5AD4C8C5" w14:textId="77777777" w:rsidR="00243103" w:rsidRPr="00523D02" w:rsidRDefault="00243103" w:rsidP="00352F98">
      <w:pPr>
        <w:spacing w:line="240" w:lineRule="auto"/>
        <w:ind w:left="567" w:hanging="567"/>
        <w:rPr>
          <w:szCs w:val="24"/>
          <w:lang w:val="en-US"/>
        </w:rPr>
      </w:pPr>
      <w:r w:rsidRPr="00523D02">
        <w:rPr>
          <w:rStyle w:val="EndnoteReference"/>
          <w:szCs w:val="24"/>
          <w:vertAlign w:val="baseline"/>
        </w:rPr>
        <w:endnoteRef/>
      </w:r>
      <w:r w:rsidRPr="00523D02">
        <w:rPr>
          <w:szCs w:val="24"/>
        </w:rPr>
        <w:t xml:space="preserve"> </w:t>
      </w:r>
      <w:r w:rsidRPr="00523D02">
        <w:rPr>
          <w:szCs w:val="24"/>
        </w:rPr>
        <w:tab/>
        <w:t xml:space="preserve">Statistics NZ. (2013). </w:t>
      </w:r>
      <w:r w:rsidRPr="00523D02">
        <w:rPr>
          <w:i/>
          <w:iCs/>
          <w:szCs w:val="24"/>
        </w:rPr>
        <w:t>Disability survey: 2013.</w:t>
      </w:r>
      <w:r w:rsidRPr="00523D02">
        <w:rPr>
          <w:szCs w:val="24"/>
        </w:rPr>
        <w:t xml:space="preserve"> Retrieved from: https://www.stats.govt.nz/information-releases/disability-survey-2013</w:t>
      </w:r>
    </w:p>
  </w:endnote>
  <w:endnote w:id="9">
    <w:p w14:paraId="1C92CF56" w14:textId="3E9B0BE3" w:rsidR="00523D02" w:rsidRPr="00523D02" w:rsidRDefault="00243103" w:rsidP="00352F98">
      <w:pPr>
        <w:spacing w:line="240" w:lineRule="auto"/>
        <w:ind w:left="567" w:hanging="567"/>
        <w:rPr>
          <w:szCs w:val="24"/>
        </w:rPr>
      </w:pPr>
      <w:r w:rsidRPr="00523D02">
        <w:rPr>
          <w:rStyle w:val="EndnoteReference"/>
          <w:szCs w:val="24"/>
          <w:vertAlign w:val="baseline"/>
        </w:rPr>
        <w:endnoteRef/>
      </w:r>
      <w:r w:rsidRPr="00523D02">
        <w:rPr>
          <w:szCs w:val="24"/>
        </w:rPr>
        <w:t xml:space="preserve"> </w:t>
      </w:r>
      <w:r w:rsidRPr="00523D02">
        <w:rPr>
          <w:szCs w:val="24"/>
        </w:rPr>
        <w:tab/>
        <w:t xml:space="preserve">Statistics NZ. (2022). </w:t>
      </w:r>
      <w:r w:rsidRPr="00523D02">
        <w:rPr>
          <w:i/>
          <w:iCs/>
          <w:szCs w:val="24"/>
        </w:rPr>
        <w:t>Labour market statistics (disability): June 2022 quarter.</w:t>
      </w:r>
      <w:r w:rsidRPr="00523D02">
        <w:rPr>
          <w:szCs w:val="24"/>
        </w:rPr>
        <w:t xml:space="preserve"> Retrieved from: </w:t>
      </w:r>
      <w:r w:rsidR="00523D02" w:rsidRPr="00523D02">
        <w:rPr>
          <w:szCs w:val="24"/>
        </w:rPr>
        <w:t>https://www.stats.govt.nz/information-releases/labour-market-statistics-disability-june-2022-</w:t>
      </w:r>
      <w:r w:rsidR="00752D41">
        <w:rPr>
          <w:szCs w:val="24"/>
        </w:rPr>
        <w:t>q</w:t>
      </w:r>
      <w:r w:rsidR="00523D02" w:rsidRPr="00523D02">
        <w:rPr>
          <w:szCs w:val="24"/>
        </w:rPr>
        <w:t>uarter?fbclid=IwAR0RoTLUANz2a70cq4NHfE4sL20_GWXCoYvvi6RvithBeMhnzaVS49w0f7M</w:t>
      </w:r>
    </w:p>
  </w:endnote>
  <w:endnote w:id="10">
    <w:p w14:paraId="7D859037" w14:textId="1FBA398A" w:rsidR="00523D02" w:rsidRPr="00523D02" w:rsidRDefault="00523D02" w:rsidP="00352F98">
      <w:pPr>
        <w:pStyle w:val="EndnoteText"/>
        <w:spacing w:after="240"/>
        <w:ind w:left="567" w:hanging="567"/>
        <w:rPr>
          <w:sz w:val="24"/>
          <w:szCs w:val="24"/>
          <w:lang w:val="en-US"/>
        </w:rPr>
      </w:pPr>
      <w:r w:rsidRPr="00523D02">
        <w:rPr>
          <w:rStyle w:val="EndnoteReference"/>
          <w:sz w:val="24"/>
          <w:szCs w:val="24"/>
          <w:vertAlign w:val="baseline"/>
        </w:rPr>
        <w:endnoteRef/>
      </w:r>
      <w:r w:rsidRPr="00523D02">
        <w:rPr>
          <w:sz w:val="24"/>
          <w:szCs w:val="24"/>
        </w:rPr>
        <w:t xml:space="preserve"> </w:t>
      </w:r>
      <w:r w:rsidRPr="00523D02">
        <w:rPr>
          <w:sz w:val="24"/>
          <w:szCs w:val="24"/>
        </w:rPr>
        <w:tab/>
        <w:t xml:space="preserve">Statistics NZ. (2022). </w:t>
      </w:r>
      <w:r w:rsidRPr="00523D02">
        <w:rPr>
          <w:i/>
          <w:iCs/>
          <w:sz w:val="24"/>
          <w:szCs w:val="24"/>
        </w:rPr>
        <w:t>Labour market statistics (disability): June 2021 quarter.</w:t>
      </w:r>
      <w:r w:rsidRPr="00523D02">
        <w:rPr>
          <w:sz w:val="24"/>
          <w:szCs w:val="24"/>
        </w:rPr>
        <w:t xml:space="preserve"> Retrieved from: </w:t>
      </w:r>
      <w:r w:rsidRPr="00523D02">
        <w:rPr>
          <w:sz w:val="24"/>
          <w:szCs w:val="24"/>
          <w:lang w:val="en-US"/>
        </w:rPr>
        <w:t>https://www.stats.govt.nz/information-releases/labour-market-statistics-disability-june-2021-quarter</w:t>
      </w:r>
    </w:p>
  </w:endnote>
  <w:endnote w:id="11">
    <w:p w14:paraId="3AF570C8" w14:textId="77777777" w:rsidR="00DB5B2D" w:rsidRPr="00523D02" w:rsidRDefault="00DB5B2D" w:rsidP="00352F98">
      <w:pPr>
        <w:pStyle w:val="EndnoteText"/>
        <w:spacing w:after="240"/>
        <w:ind w:left="567" w:hanging="567"/>
        <w:rPr>
          <w:rFonts w:cs="Arial"/>
          <w:sz w:val="24"/>
          <w:szCs w:val="24"/>
          <w:lang w:val="en-US"/>
        </w:rPr>
      </w:pPr>
      <w:r w:rsidRPr="00523D02">
        <w:rPr>
          <w:rStyle w:val="EndnoteReference"/>
          <w:rFonts w:cs="Arial"/>
          <w:sz w:val="24"/>
          <w:szCs w:val="24"/>
          <w:vertAlign w:val="baseline"/>
        </w:rPr>
        <w:endnoteRef/>
      </w:r>
      <w:r w:rsidRPr="00523D02">
        <w:rPr>
          <w:rFonts w:cs="Arial"/>
          <w:sz w:val="24"/>
          <w:szCs w:val="24"/>
        </w:rPr>
        <w:t xml:space="preserve"> </w:t>
      </w:r>
      <w:r w:rsidRPr="00523D02">
        <w:rPr>
          <w:rFonts w:cs="Arial"/>
          <w:sz w:val="24"/>
          <w:szCs w:val="24"/>
        </w:rPr>
        <w:tab/>
        <w:t xml:space="preserve">Disabled Persons Assembly NZ. (2023). </w:t>
      </w:r>
      <w:r w:rsidRPr="00523D02">
        <w:rPr>
          <w:rFonts w:cs="Arial"/>
          <w:i/>
          <w:iCs/>
          <w:sz w:val="24"/>
          <w:szCs w:val="24"/>
        </w:rPr>
        <w:t>Systemic Barriers to Employment.</w:t>
      </w:r>
      <w:r w:rsidRPr="00523D02">
        <w:rPr>
          <w:rFonts w:cs="Arial"/>
          <w:sz w:val="24"/>
          <w:szCs w:val="24"/>
        </w:rPr>
        <w:t xml:space="preserve"> Retrieved from: https://www.infoexchange.nz/systemic-barriers-to-employment/</w:t>
      </w:r>
    </w:p>
  </w:endnote>
  <w:endnote w:id="12">
    <w:p w14:paraId="038937DD" w14:textId="3E70CB7A" w:rsidR="00525E73" w:rsidRPr="00D53BC8" w:rsidRDefault="00525E73" w:rsidP="00352F98">
      <w:pPr>
        <w:spacing w:line="240" w:lineRule="auto"/>
        <w:ind w:left="567" w:hanging="567"/>
        <w:rPr>
          <w:lang w:val="en-US"/>
        </w:rPr>
      </w:pPr>
      <w:r w:rsidRPr="00523D02">
        <w:rPr>
          <w:rStyle w:val="EndnoteReference"/>
          <w:szCs w:val="24"/>
          <w:vertAlign w:val="baseline"/>
        </w:rPr>
        <w:endnoteRef/>
      </w:r>
      <w:r w:rsidRPr="00523D02">
        <w:rPr>
          <w:szCs w:val="24"/>
        </w:rPr>
        <w:t xml:space="preserve"> </w:t>
      </w:r>
      <w:r w:rsidR="00695E5B" w:rsidRPr="00523D02">
        <w:rPr>
          <w:szCs w:val="24"/>
        </w:rPr>
        <w:tab/>
      </w:r>
      <w:r w:rsidR="0026646D" w:rsidRPr="00523D02">
        <w:rPr>
          <w:szCs w:val="24"/>
          <w:lang w:val="en-US"/>
        </w:rPr>
        <w:t xml:space="preserve">1news. (2022). </w:t>
      </w:r>
      <w:r w:rsidR="0026646D" w:rsidRPr="00523D02">
        <w:rPr>
          <w:i/>
          <w:iCs/>
          <w:szCs w:val="24"/>
          <w:lang w:val="en-US"/>
        </w:rPr>
        <w:t>Minimum wage exemption still in place for disabled workers.</w:t>
      </w:r>
      <w:r w:rsidR="0026646D" w:rsidRPr="00523D02">
        <w:rPr>
          <w:szCs w:val="24"/>
          <w:lang w:val="en-US"/>
        </w:rPr>
        <w:t xml:space="preserve"> Retrieved from: https://www</w:t>
      </w:r>
      <w:r w:rsidR="0026646D" w:rsidRPr="00D53BC8">
        <w:rPr>
          <w:lang w:val="en-US"/>
        </w:rPr>
        <w:t>.1news.co.nz/2022/04/12/minimum-wage-exemption-still-in-place-for-disabled-workers/</w:t>
      </w:r>
    </w:p>
  </w:endnote>
  <w:endnote w:id="13">
    <w:p w14:paraId="6FC7BAA9" w14:textId="083ACFB4" w:rsidR="006A17EC" w:rsidRPr="00D53BC8" w:rsidRDefault="006A17EC" w:rsidP="00352F98">
      <w:pPr>
        <w:spacing w:line="240" w:lineRule="auto"/>
        <w:ind w:left="567" w:hanging="567"/>
        <w:rPr>
          <w:lang w:val="en-US"/>
        </w:rPr>
      </w:pPr>
      <w:r w:rsidRPr="00D53BC8">
        <w:rPr>
          <w:rStyle w:val="EndnoteReference"/>
          <w:szCs w:val="24"/>
          <w:vertAlign w:val="baseline"/>
        </w:rPr>
        <w:endnoteRef/>
      </w:r>
      <w:r w:rsidRPr="00D53BC8">
        <w:t xml:space="preserve"> </w:t>
      </w:r>
      <w:r w:rsidRPr="00D53BC8">
        <w:tab/>
      </w:r>
      <w:r w:rsidRPr="00D53BC8">
        <w:rPr>
          <w:rFonts w:eastAsia="Calibri Light" w:cs="Arial"/>
        </w:rPr>
        <w:t xml:space="preserve">Ministry of Social Development. (2020). </w:t>
      </w:r>
      <w:r w:rsidRPr="00D53BC8">
        <w:rPr>
          <w:rFonts w:eastAsia="Calibri Light" w:cs="Arial"/>
          <w:i/>
          <w:iCs/>
        </w:rPr>
        <w:t>Working Matters: An Action Plan to ensure disabled people and people with health conditions have an equal opportunity to access employment.</w:t>
      </w:r>
      <w:r w:rsidRPr="00D53BC8">
        <w:rPr>
          <w:rFonts w:eastAsia="Calibri Light" w:cs="Arial"/>
        </w:rPr>
        <w:t xml:space="preserve"> Retrieved from: https://www.msd.govt.nz/documents/what-we-can-do/disability-services/disability-employment-action-plan/working-matters-2020-spreads.pdf</w:t>
      </w:r>
    </w:p>
  </w:endnote>
  <w:endnote w:id="14">
    <w:p w14:paraId="00E2797E" w14:textId="533EF1B3" w:rsidR="00A71089" w:rsidRPr="00D53BC8" w:rsidRDefault="00A71089" w:rsidP="00352F98">
      <w:pPr>
        <w:spacing w:line="240" w:lineRule="auto"/>
        <w:ind w:left="567" w:hanging="567"/>
        <w:rPr>
          <w:lang w:val="en-US"/>
        </w:rPr>
      </w:pPr>
      <w:r w:rsidRPr="00D53BC8">
        <w:rPr>
          <w:rStyle w:val="EndnoteReference"/>
          <w:vertAlign w:val="baseline"/>
        </w:rPr>
        <w:endnoteRef/>
      </w:r>
      <w:r w:rsidRPr="00D53BC8">
        <w:t xml:space="preserve"> </w:t>
      </w:r>
      <w:r w:rsidR="00695E5B" w:rsidRPr="00D53BC8">
        <w:tab/>
      </w:r>
      <w:r w:rsidR="00C96FD1" w:rsidRPr="00D53BC8">
        <w:t xml:space="preserve">New Zealand Immigration Law. (2022). </w:t>
      </w:r>
      <w:r w:rsidR="00C96FD1" w:rsidRPr="00D53BC8">
        <w:rPr>
          <w:i/>
          <w:iCs/>
        </w:rPr>
        <w:t>Data shows NZ has a labour shortage not just a skills shortage.</w:t>
      </w:r>
      <w:r w:rsidR="00C96FD1" w:rsidRPr="00D53BC8">
        <w:t xml:space="preserve"> Retrieved from: </w:t>
      </w:r>
      <w:r w:rsidRPr="00D53BC8">
        <w:t>https://nzil.co.nz/news/data-shows-nz-has-a-labour-shortage-not-just-a-skills-shortage/</w:t>
      </w:r>
    </w:p>
  </w:endnote>
  <w:endnote w:id="15">
    <w:p w14:paraId="3F17E1FA" w14:textId="77777777" w:rsidR="00523D02" w:rsidRPr="00523D02" w:rsidRDefault="00523D02" w:rsidP="00352F98">
      <w:pPr>
        <w:spacing w:line="240" w:lineRule="auto"/>
        <w:ind w:left="567" w:hanging="567"/>
        <w:rPr>
          <w:szCs w:val="24"/>
        </w:rPr>
      </w:pPr>
      <w:r w:rsidRPr="00523D02">
        <w:rPr>
          <w:rStyle w:val="EndnoteReference"/>
          <w:szCs w:val="24"/>
          <w:vertAlign w:val="baseline"/>
        </w:rPr>
        <w:endnoteRef/>
      </w:r>
      <w:r w:rsidRPr="00523D02">
        <w:rPr>
          <w:szCs w:val="24"/>
        </w:rPr>
        <w:t xml:space="preserve"> </w:t>
      </w:r>
      <w:r w:rsidRPr="00523D02">
        <w:rPr>
          <w:szCs w:val="24"/>
        </w:rPr>
        <w:tab/>
        <w:t xml:space="preserve">Statistics NZ. (2022). </w:t>
      </w:r>
      <w:r w:rsidRPr="00523D02">
        <w:rPr>
          <w:i/>
          <w:iCs/>
          <w:szCs w:val="24"/>
        </w:rPr>
        <w:t>Labour market statistics (disability): June 2022 quarter.</w:t>
      </w:r>
      <w:r w:rsidRPr="00523D02">
        <w:rPr>
          <w:szCs w:val="24"/>
        </w:rPr>
        <w:t xml:space="preserve"> Retrieved from: https://www.stats.govt.nz/information-releases/labour-market-statistics-disability-june-2022-quarter?fbclid=IwAR0RoTLUANz2a70cq4NHfE4sL20_GWXCoYvvi6RvithBeMhnzaVS49w0f7M</w:t>
      </w:r>
    </w:p>
  </w:endnote>
  <w:endnote w:id="16">
    <w:p w14:paraId="13AE9208" w14:textId="30CB3A8B" w:rsidR="00D32EED" w:rsidRPr="00BF16A5" w:rsidRDefault="00D32EED" w:rsidP="00352F98">
      <w:pPr>
        <w:spacing w:line="240" w:lineRule="auto"/>
        <w:ind w:left="567" w:hanging="567"/>
        <w:rPr>
          <w:szCs w:val="24"/>
          <w:lang w:val="en-US"/>
        </w:rPr>
      </w:pPr>
      <w:r w:rsidRPr="00D53BC8">
        <w:rPr>
          <w:rStyle w:val="EndnoteReference"/>
          <w:szCs w:val="24"/>
          <w:vertAlign w:val="baseline"/>
        </w:rPr>
        <w:endnoteRef/>
      </w:r>
      <w:r w:rsidRPr="00D53BC8">
        <w:t xml:space="preserve"> </w:t>
      </w:r>
      <w:r w:rsidRPr="00D53BC8">
        <w:tab/>
      </w:r>
      <w:r w:rsidRPr="00D53BC8">
        <w:rPr>
          <w:rFonts w:cs="Arial"/>
        </w:rPr>
        <w:t xml:space="preserve">CCS Disability Action. (2019). </w:t>
      </w:r>
      <w:r w:rsidRPr="00D53BC8">
        <w:rPr>
          <w:rFonts w:cs="Arial"/>
          <w:i/>
          <w:iCs/>
        </w:rPr>
        <w:t>Disability and self-employment: Supporting people and their dreams</w:t>
      </w:r>
      <w:r w:rsidRPr="00D53BC8">
        <w:rPr>
          <w:rFonts w:cs="Arial"/>
        </w:rPr>
        <w:t>. Retrieved from: https://ccsdisabilityaction.org.nz/assets/resource-files/Disability-and-self-</w:t>
      </w:r>
      <w:r w:rsidRPr="00BF16A5">
        <w:rPr>
          <w:rFonts w:cs="Arial"/>
          <w:szCs w:val="24"/>
        </w:rPr>
        <w:t>employment-CCS-Disability-Action.pdf</w:t>
      </w:r>
    </w:p>
  </w:endnote>
  <w:endnote w:id="17">
    <w:p w14:paraId="3E9D53E0" w14:textId="16A2089B" w:rsidR="00581985" w:rsidRPr="00BF16A5" w:rsidRDefault="00581985" w:rsidP="00352F98">
      <w:pPr>
        <w:pStyle w:val="EndnoteText"/>
        <w:spacing w:after="240"/>
        <w:ind w:left="567" w:hanging="567"/>
        <w:rPr>
          <w:sz w:val="24"/>
          <w:szCs w:val="24"/>
          <w:lang w:val="en-US"/>
        </w:rPr>
      </w:pPr>
      <w:r w:rsidRPr="00BF16A5">
        <w:rPr>
          <w:rStyle w:val="EndnoteReference"/>
          <w:sz w:val="24"/>
          <w:szCs w:val="24"/>
          <w:vertAlign w:val="baseline"/>
        </w:rPr>
        <w:endnoteRef/>
      </w:r>
      <w:r w:rsidRPr="00BF16A5">
        <w:rPr>
          <w:sz w:val="24"/>
          <w:szCs w:val="24"/>
        </w:rPr>
        <w:t xml:space="preserve"> </w:t>
      </w:r>
      <w:r w:rsidR="00BF16A5">
        <w:rPr>
          <w:sz w:val="24"/>
          <w:szCs w:val="24"/>
        </w:rPr>
        <w:tab/>
      </w:r>
      <w:r w:rsidRPr="00BF16A5">
        <w:rPr>
          <w:sz w:val="24"/>
          <w:szCs w:val="24"/>
        </w:rPr>
        <w:t xml:space="preserve">New Zealand Parliament. (June 1, 2022). </w:t>
      </w:r>
      <w:r w:rsidRPr="00BF16A5">
        <w:rPr>
          <w:i/>
          <w:iCs/>
          <w:sz w:val="24"/>
          <w:szCs w:val="24"/>
        </w:rPr>
        <w:t xml:space="preserve">17452 (2022). Jan Logie to the Minister for Disability Issues. </w:t>
      </w:r>
      <w:r w:rsidRPr="00BF16A5">
        <w:rPr>
          <w:sz w:val="24"/>
          <w:szCs w:val="24"/>
        </w:rPr>
        <w:t>Retrieved from: https://www.parliament.nz/en/pb/order-paper-questions/written-questions/document/WQ_17452_2022/17452-2022-jan-logie-to-the-minister-for-disability</w:t>
      </w:r>
    </w:p>
  </w:endnote>
  <w:endnote w:id="18">
    <w:p w14:paraId="7BFF0822" w14:textId="6130E179" w:rsidR="00581985" w:rsidRPr="00BF16A5" w:rsidRDefault="00581985" w:rsidP="00352F98">
      <w:pPr>
        <w:pStyle w:val="EndnoteText"/>
        <w:spacing w:after="240"/>
        <w:ind w:left="567" w:hanging="567"/>
        <w:rPr>
          <w:sz w:val="24"/>
          <w:szCs w:val="24"/>
          <w:lang w:val="en-US"/>
        </w:rPr>
      </w:pPr>
      <w:r w:rsidRPr="00BF16A5">
        <w:rPr>
          <w:rStyle w:val="EndnoteReference"/>
          <w:sz w:val="24"/>
          <w:szCs w:val="24"/>
          <w:vertAlign w:val="baseline"/>
        </w:rPr>
        <w:endnoteRef/>
      </w:r>
      <w:r w:rsidRPr="00BF16A5">
        <w:rPr>
          <w:sz w:val="24"/>
          <w:szCs w:val="24"/>
        </w:rPr>
        <w:t xml:space="preserve"> </w:t>
      </w:r>
      <w:r w:rsidR="00BF16A5">
        <w:rPr>
          <w:sz w:val="24"/>
          <w:szCs w:val="24"/>
        </w:rPr>
        <w:tab/>
      </w:r>
      <w:r w:rsidRPr="00BF16A5">
        <w:rPr>
          <w:sz w:val="24"/>
          <w:szCs w:val="24"/>
        </w:rPr>
        <w:t xml:space="preserve">New Zealand Parliament. (June 1, 2022). </w:t>
      </w:r>
      <w:r w:rsidRPr="00BF16A5">
        <w:rPr>
          <w:i/>
          <w:iCs/>
          <w:sz w:val="24"/>
          <w:szCs w:val="24"/>
        </w:rPr>
        <w:t xml:space="preserve">17449 (2022). Jan Logie to the Minister for Disability Issues. </w:t>
      </w:r>
      <w:r w:rsidRPr="00BF16A5">
        <w:rPr>
          <w:sz w:val="24"/>
          <w:szCs w:val="24"/>
        </w:rPr>
        <w:t>Retrieved from: https://www.parliament.nz/en/pb/order-paper-questions/written-questions/document/WQ_17449_2022/17449-2022-jan-logie-to-the-minister-for-disability</w:t>
      </w:r>
    </w:p>
  </w:endnote>
  <w:endnote w:id="19">
    <w:p w14:paraId="1932931F" w14:textId="2B46BD85" w:rsidR="00D9787C" w:rsidRPr="00BF16A5" w:rsidRDefault="00D9787C" w:rsidP="00352F98">
      <w:pPr>
        <w:pStyle w:val="EndnoteText"/>
        <w:spacing w:after="240"/>
        <w:ind w:left="567" w:hanging="567"/>
        <w:rPr>
          <w:sz w:val="24"/>
          <w:szCs w:val="24"/>
          <w:lang w:val="en-US"/>
        </w:rPr>
      </w:pPr>
      <w:r w:rsidRPr="00BF16A5">
        <w:rPr>
          <w:rStyle w:val="EndnoteReference"/>
          <w:sz w:val="24"/>
          <w:szCs w:val="24"/>
          <w:vertAlign w:val="baseline"/>
        </w:rPr>
        <w:endnoteRef/>
      </w:r>
      <w:r w:rsidRPr="00BF16A5">
        <w:rPr>
          <w:sz w:val="24"/>
          <w:szCs w:val="24"/>
        </w:rPr>
        <w:t xml:space="preserve"> </w:t>
      </w:r>
      <w:r w:rsidR="00BF16A5">
        <w:rPr>
          <w:sz w:val="24"/>
          <w:szCs w:val="24"/>
        </w:rPr>
        <w:tab/>
      </w:r>
      <w:r w:rsidRPr="00BF16A5">
        <w:rPr>
          <w:sz w:val="24"/>
          <w:szCs w:val="24"/>
        </w:rPr>
        <w:t xml:space="preserve">New Zealand Parliament. (June 1, 2022). </w:t>
      </w:r>
      <w:r w:rsidRPr="00BF16A5">
        <w:rPr>
          <w:i/>
          <w:iCs/>
          <w:sz w:val="24"/>
          <w:szCs w:val="24"/>
        </w:rPr>
        <w:t xml:space="preserve">17448 (2022). Jan Logie to the Minister for Disability Issues. </w:t>
      </w:r>
      <w:r w:rsidRPr="00BF16A5">
        <w:rPr>
          <w:sz w:val="24"/>
          <w:szCs w:val="24"/>
        </w:rPr>
        <w:t>Retrieved from: https://www.parliament.nz/en/pb/order-paper-questions/written-questions/document/WQ_17448_2022/17448-2022-jan-logie-to-the-minister-for-disability</w:t>
      </w:r>
    </w:p>
  </w:endnote>
  <w:endnote w:id="20">
    <w:p w14:paraId="0672B504" w14:textId="21B95102" w:rsidR="000A29FE" w:rsidRPr="00BF16A5" w:rsidRDefault="000A29FE" w:rsidP="00352F98">
      <w:pPr>
        <w:pStyle w:val="EndnoteText"/>
        <w:spacing w:after="240"/>
        <w:ind w:left="567" w:hanging="567"/>
        <w:rPr>
          <w:sz w:val="24"/>
          <w:szCs w:val="24"/>
          <w:lang w:val="en-US"/>
        </w:rPr>
      </w:pPr>
      <w:r w:rsidRPr="00BF16A5">
        <w:rPr>
          <w:rStyle w:val="EndnoteReference"/>
          <w:sz w:val="24"/>
          <w:szCs w:val="24"/>
          <w:vertAlign w:val="baseline"/>
        </w:rPr>
        <w:endnoteRef/>
      </w:r>
      <w:r w:rsidRPr="00BF16A5">
        <w:rPr>
          <w:sz w:val="24"/>
          <w:szCs w:val="24"/>
        </w:rPr>
        <w:t xml:space="preserve"> </w:t>
      </w:r>
      <w:r w:rsidR="00596B1C">
        <w:rPr>
          <w:sz w:val="24"/>
          <w:szCs w:val="24"/>
        </w:rPr>
        <w:tab/>
      </w:r>
      <w:r w:rsidR="00596B1C" w:rsidRPr="00BF16A5">
        <w:rPr>
          <w:sz w:val="24"/>
          <w:szCs w:val="24"/>
        </w:rPr>
        <w:t>New Zealand Parliament. (May 4, 202</w:t>
      </w:r>
      <w:r w:rsidR="00596B1C">
        <w:rPr>
          <w:sz w:val="24"/>
          <w:szCs w:val="24"/>
        </w:rPr>
        <w:t>1</w:t>
      </w:r>
      <w:r w:rsidR="00596B1C" w:rsidRPr="00BF16A5">
        <w:rPr>
          <w:sz w:val="24"/>
          <w:szCs w:val="24"/>
        </w:rPr>
        <w:t xml:space="preserve">). </w:t>
      </w:r>
      <w:r w:rsidR="00596B1C" w:rsidRPr="00BF16A5">
        <w:rPr>
          <w:i/>
          <w:iCs/>
          <w:sz w:val="24"/>
          <w:szCs w:val="24"/>
        </w:rPr>
        <w:t xml:space="preserve">16188 (2021). Jan Logie to the Minister for Social Development and Employment. </w:t>
      </w:r>
      <w:r w:rsidR="00596B1C" w:rsidRPr="00BF16A5">
        <w:rPr>
          <w:sz w:val="24"/>
          <w:szCs w:val="24"/>
        </w:rPr>
        <w:t>Retrieved from: https://www.parliament.nz/en/pb/order-paper-questions/written-questions/document/WQ_16188_2021/16188-2021-jan-logie-to-the-minister-for-social-development</w:t>
      </w:r>
    </w:p>
  </w:endnote>
  <w:endnote w:id="21">
    <w:p w14:paraId="73064E4D" w14:textId="53E153A2" w:rsidR="00BD4959" w:rsidRPr="00BF16A5" w:rsidRDefault="00BD4959" w:rsidP="00352F98">
      <w:pPr>
        <w:pStyle w:val="EndnoteText"/>
        <w:spacing w:after="240"/>
        <w:ind w:left="567" w:hanging="567"/>
        <w:rPr>
          <w:sz w:val="24"/>
          <w:szCs w:val="24"/>
          <w:lang w:val="en-US"/>
        </w:rPr>
      </w:pPr>
      <w:r w:rsidRPr="00BF16A5">
        <w:rPr>
          <w:rStyle w:val="EndnoteReference"/>
          <w:sz w:val="24"/>
          <w:szCs w:val="24"/>
          <w:vertAlign w:val="baseline"/>
        </w:rPr>
        <w:endnoteRef/>
      </w:r>
      <w:r w:rsidRPr="00BF16A5">
        <w:rPr>
          <w:sz w:val="24"/>
          <w:szCs w:val="24"/>
        </w:rPr>
        <w:t xml:space="preserve"> </w:t>
      </w:r>
      <w:r w:rsidR="00BF16A5">
        <w:rPr>
          <w:sz w:val="24"/>
          <w:szCs w:val="24"/>
        </w:rPr>
        <w:tab/>
      </w:r>
      <w:r w:rsidRPr="00BF16A5">
        <w:rPr>
          <w:sz w:val="24"/>
          <w:szCs w:val="24"/>
        </w:rPr>
        <w:t xml:space="preserve">New Zealand Parliament. (June 22, 2021). </w:t>
      </w:r>
      <w:r w:rsidRPr="00BF16A5">
        <w:rPr>
          <w:i/>
          <w:iCs/>
          <w:sz w:val="24"/>
          <w:szCs w:val="24"/>
        </w:rPr>
        <w:t xml:space="preserve">26098 (2021). Jan Logie to the Minister for Disability Issues. </w:t>
      </w:r>
      <w:r w:rsidRPr="00BF16A5">
        <w:rPr>
          <w:sz w:val="24"/>
          <w:szCs w:val="24"/>
        </w:rPr>
        <w:t>Retrieved from: https://www.parliament.nz/en/pb/order-paper-questions/written-questions/document/WQ_26098_2021/26098-2021-jan-logie-to-the-minister-for-disability</w:t>
      </w:r>
    </w:p>
  </w:endnote>
  <w:endnote w:id="22">
    <w:p w14:paraId="5A567F5F" w14:textId="77777777" w:rsidR="00635ECE" w:rsidRPr="00BF16A5" w:rsidRDefault="00635ECE" w:rsidP="00635ECE">
      <w:pPr>
        <w:pStyle w:val="EndnoteText"/>
        <w:spacing w:after="240"/>
        <w:ind w:left="567" w:hanging="567"/>
        <w:rPr>
          <w:sz w:val="24"/>
          <w:szCs w:val="24"/>
          <w:lang w:val="en-US"/>
        </w:rPr>
      </w:pPr>
      <w:r w:rsidRPr="00BF16A5">
        <w:rPr>
          <w:rStyle w:val="EndnoteReference"/>
          <w:sz w:val="24"/>
          <w:szCs w:val="24"/>
          <w:vertAlign w:val="baseline"/>
        </w:rPr>
        <w:endnoteRef/>
      </w:r>
      <w:r w:rsidRPr="00BF16A5">
        <w:rPr>
          <w:sz w:val="24"/>
          <w:szCs w:val="24"/>
        </w:rPr>
        <w:t xml:space="preserve"> </w:t>
      </w:r>
      <w:r>
        <w:rPr>
          <w:sz w:val="24"/>
          <w:szCs w:val="24"/>
        </w:rPr>
        <w:tab/>
      </w:r>
      <w:r w:rsidRPr="00BF16A5">
        <w:rPr>
          <w:sz w:val="24"/>
          <w:szCs w:val="24"/>
        </w:rPr>
        <w:t xml:space="preserve">New Zealand Parliament. (June 22, 2021). </w:t>
      </w:r>
      <w:r w:rsidRPr="00BF16A5">
        <w:rPr>
          <w:i/>
          <w:iCs/>
          <w:sz w:val="24"/>
          <w:szCs w:val="24"/>
        </w:rPr>
        <w:t xml:space="preserve">26089 (2021). Jan Logie to the Minister for Disability Issues. </w:t>
      </w:r>
      <w:r w:rsidRPr="00BF16A5">
        <w:rPr>
          <w:sz w:val="24"/>
          <w:szCs w:val="24"/>
        </w:rPr>
        <w:t xml:space="preserve">Retrieved from: </w:t>
      </w:r>
      <w:r w:rsidRPr="00BF16A5">
        <w:rPr>
          <w:bCs/>
          <w:sz w:val="24"/>
          <w:szCs w:val="24"/>
        </w:rPr>
        <w:t>https://www.parliament.nz/en/pb/order-paper-questions/written-questions/document/WQ_26089_2021/26089-2021-jan-logie-to-the-minister-for-disability</w:t>
      </w:r>
    </w:p>
  </w:endnote>
  <w:endnote w:id="23">
    <w:p w14:paraId="18447EDD" w14:textId="77777777" w:rsidR="00D52509" w:rsidRPr="00BF16A5" w:rsidRDefault="00D52509" w:rsidP="00352F98">
      <w:pPr>
        <w:pStyle w:val="EndnoteText"/>
        <w:spacing w:after="240"/>
        <w:ind w:left="567" w:hanging="567"/>
        <w:rPr>
          <w:sz w:val="24"/>
          <w:szCs w:val="24"/>
          <w:lang w:val="en-US"/>
        </w:rPr>
      </w:pPr>
      <w:r w:rsidRPr="00BF16A5">
        <w:rPr>
          <w:rStyle w:val="EndnoteReference"/>
          <w:sz w:val="24"/>
          <w:szCs w:val="24"/>
          <w:vertAlign w:val="baseline"/>
        </w:rPr>
        <w:endnoteRef/>
      </w:r>
      <w:r w:rsidRPr="00BF16A5">
        <w:rPr>
          <w:sz w:val="24"/>
          <w:szCs w:val="24"/>
        </w:rPr>
        <w:t xml:space="preserve"> </w:t>
      </w:r>
      <w:r>
        <w:rPr>
          <w:sz w:val="24"/>
          <w:szCs w:val="24"/>
        </w:rPr>
        <w:tab/>
      </w:r>
      <w:r w:rsidRPr="00951FB0">
        <w:rPr>
          <w:sz w:val="24"/>
          <w:szCs w:val="24"/>
        </w:rPr>
        <w:t xml:space="preserve">New Zealand Parliament. (June 1, 2022). </w:t>
      </w:r>
      <w:r w:rsidRPr="00951FB0">
        <w:rPr>
          <w:i/>
          <w:iCs/>
          <w:sz w:val="24"/>
          <w:szCs w:val="24"/>
        </w:rPr>
        <w:t xml:space="preserve">17439 (2022). Jan Logie to the Minister for Disability Issues. </w:t>
      </w:r>
      <w:r w:rsidRPr="00951FB0">
        <w:rPr>
          <w:sz w:val="24"/>
          <w:szCs w:val="24"/>
        </w:rPr>
        <w:t>Retrieved from: https://www.parliament.nz/en/pb/order-paper-questions/written-questions/document/WQ_17439_2022/17439-2022-jan-logie-to-the-minister-for-disability</w:t>
      </w:r>
    </w:p>
  </w:endnote>
  <w:endnote w:id="24">
    <w:p w14:paraId="16C39704" w14:textId="77777777" w:rsidR="00D52509" w:rsidRPr="00BF16A5" w:rsidRDefault="00D52509" w:rsidP="00352F98">
      <w:pPr>
        <w:pStyle w:val="EndnoteText"/>
        <w:spacing w:after="240"/>
        <w:ind w:left="567" w:hanging="567"/>
        <w:rPr>
          <w:sz w:val="24"/>
          <w:szCs w:val="24"/>
          <w:lang w:val="en-US"/>
        </w:rPr>
      </w:pPr>
      <w:r w:rsidRPr="00BF16A5">
        <w:rPr>
          <w:rStyle w:val="EndnoteReference"/>
          <w:sz w:val="24"/>
          <w:szCs w:val="24"/>
          <w:vertAlign w:val="baseline"/>
        </w:rPr>
        <w:endnoteRef/>
      </w:r>
      <w:r w:rsidRPr="00BF16A5">
        <w:rPr>
          <w:sz w:val="24"/>
          <w:szCs w:val="24"/>
        </w:rPr>
        <w:t xml:space="preserve"> </w:t>
      </w:r>
      <w:r>
        <w:rPr>
          <w:sz w:val="24"/>
          <w:szCs w:val="24"/>
        </w:rPr>
        <w:tab/>
      </w:r>
      <w:r w:rsidRPr="00BF16A5">
        <w:rPr>
          <w:sz w:val="24"/>
          <w:szCs w:val="24"/>
        </w:rPr>
        <w:t xml:space="preserve">New Zealand Parliament. (June 1, 2022). </w:t>
      </w:r>
      <w:r w:rsidRPr="00BF16A5">
        <w:rPr>
          <w:i/>
          <w:iCs/>
          <w:sz w:val="24"/>
          <w:szCs w:val="24"/>
        </w:rPr>
        <w:t xml:space="preserve">17440 (2022). Jan Logie to the Minister for Disability Issues. </w:t>
      </w:r>
      <w:r w:rsidRPr="00BF16A5">
        <w:rPr>
          <w:sz w:val="24"/>
          <w:szCs w:val="24"/>
        </w:rPr>
        <w:t>Retrieved from: https://www.parliament.nz/en/pb/order-paper-questions/written-questions/document/WQ_17440_2022/17440-2022-jan-logie-to-the-minister-for-disability</w:t>
      </w:r>
    </w:p>
  </w:endnote>
  <w:endnote w:id="25">
    <w:p w14:paraId="688526CE" w14:textId="77777777" w:rsidR="00D52509" w:rsidRPr="00BF16A5" w:rsidRDefault="00D52509" w:rsidP="00352F98">
      <w:pPr>
        <w:pStyle w:val="EndnoteText"/>
        <w:spacing w:after="240"/>
        <w:ind w:left="567" w:hanging="567"/>
        <w:rPr>
          <w:sz w:val="24"/>
          <w:szCs w:val="24"/>
          <w:lang w:val="en-US"/>
        </w:rPr>
      </w:pPr>
      <w:r w:rsidRPr="00BF16A5">
        <w:rPr>
          <w:rStyle w:val="EndnoteReference"/>
          <w:sz w:val="24"/>
          <w:szCs w:val="24"/>
          <w:vertAlign w:val="baseline"/>
        </w:rPr>
        <w:endnoteRef/>
      </w:r>
      <w:r w:rsidRPr="00BF16A5">
        <w:rPr>
          <w:sz w:val="24"/>
          <w:szCs w:val="24"/>
        </w:rPr>
        <w:t xml:space="preserve"> </w:t>
      </w:r>
      <w:r>
        <w:rPr>
          <w:sz w:val="24"/>
          <w:szCs w:val="24"/>
        </w:rPr>
        <w:tab/>
      </w:r>
      <w:r w:rsidRPr="00BF16A5">
        <w:rPr>
          <w:sz w:val="24"/>
          <w:szCs w:val="24"/>
        </w:rPr>
        <w:t xml:space="preserve">New Zealand Parliament. (June 1, 2022). </w:t>
      </w:r>
      <w:r w:rsidRPr="00BF16A5">
        <w:rPr>
          <w:i/>
          <w:iCs/>
          <w:sz w:val="24"/>
          <w:szCs w:val="24"/>
        </w:rPr>
        <w:t xml:space="preserve">17438 (2022). Jan Logie to the Minister for Disability Issues. </w:t>
      </w:r>
      <w:r w:rsidRPr="00BF16A5">
        <w:rPr>
          <w:sz w:val="24"/>
          <w:szCs w:val="24"/>
        </w:rPr>
        <w:t>Retrieved from: https://www.parliament.nz/en/pb/order-paper-questions/written-questions/document/WQ_17438_2022/17438-2022-jan-logie-to-the-minister-for-disability</w:t>
      </w:r>
    </w:p>
  </w:endnote>
  <w:endnote w:id="26">
    <w:p w14:paraId="572E8912" w14:textId="77777777" w:rsidR="00D52509" w:rsidRPr="00523D02" w:rsidRDefault="00D52509" w:rsidP="00352F98">
      <w:pPr>
        <w:pStyle w:val="EndnoteText"/>
        <w:spacing w:after="240"/>
        <w:ind w:left="567" w:hanging="567"/>
        <w:rPr>
          <w:sz w:val="24"/>
          <w:szCs w:val="24"/>
          <w:lang w:val="en-US"/>
        </w:rPr>
      </w:pPr>
      <w:r w:rsidRPr="00BF16A5">
        <w:rPr>
          <w:rStyle w:val="EndnoteReference"/>
          <w:sz w:val="24"/>
          <w:szCs w:val="24"/>
          <w:vertAlign w:val="baseline"/>
        </w:rPr>
        <w:endnoteRef/>
      </w:r>
      <w:r w:rsidRPr="00BF16A5">
        <w:rPr>
          <w:sz w:val="24"/>
          <w:szCs w:val="24"/>
        </w:rPr>
        <w:t xml:space="preserve"> </w:t>
      </w:r>
      <w:r w:rsidRPr="00BF16A5">
        <w:rPr>
          <w:sz w:val="24"/>
          <w:szCs w:val="24"/>
        </w:rPr>
        <w:tab/>
        <w:t xml:space="preserve">New Zealand Parliament. (June 3, 2021). </w:t>
      </w:r>
      <w:r w:rsidRPr="00BF16A5">
        <w:rPr>
          <w:i/>
          <w:iCs/>
          <w:sz w:val="24"/>
          <w:szCs w:val="24"/>
          <w:lang w:val="en-US"/>
        </w:rPr>
        <w:t>23200 (2021). Jan Logie to the Minister for Social Development and Employment</w:t>
      </w:r>
      <w:r w:rsidRPr="00BF16A5">
        <w:rPr>
          <w:i/>
          <w:iCs/>
          <w:sz w:val="24"/>
          <w:szCs w:val="24"/>
        </w:rPr>
        <w:t>.</w:t>
      </w:r>
      <w:r w:rsidRPr="00BF16A5">
        <w:rPr>
          <w:sz w:val="24"/>
          <w:szCs w:val="24"/>
        </w:rPr>
        <w:t xml:space="preserve"> Retrieved from: https://www.parliament.nz/en/pb/order-paper-questions/written-questions/document</w:t>
      </w:r>
      <w:r w:rsidRPr="00523D02">
        <w:rPr>
          <w:sz w:val="24"/>
          <w:szCs w:val="24"/>
        </w:rPr>
        <w:t>/WQ_23200_2021/23200-2021-jan-logie-to-the-minister-for-social-development</w:t>
      </w:r>
    </w:p>
  </w:endnote>
  <w:endnote w:id="27">
    <w:p w14:paraId="7B4CEFA9" w14:textId="77777777" w:rsidR="00D52509" w:rsidRPr="00BF16A5" w:rsidRDefault="00D52509" w:rsidP="00352F98">
      <w:pPr>
        <w:pStyle w:val="EndnoteText"/>
        <w:spacing w:after="240"/>
        <w:ind w:left="567" w:hanging="567"/>
        <w:rPr>
          <w:sz w:val="24"/>
          <w:szCs w:val="24"/>
          <w:lang w:val="en-US"/>
        </w:rPr>
      </w:pPr>
      <w:r w:rsidRPr="00BF16A5">
        <w:rPr>
          <w:rStyle w:val="EndnoteReference"/>
          <w:sz w:val="24"/>
          <w:szCs w:val="24"/>
          <w:vertAlign w:val="baseline"/>
        </w:rPr>
        <w:endnoteRef/>
      </w:r>
      <w:r w:rsidRPr="00BF16A5">
        <w:rPr>
          <w:sz w:val="24"/>
          <w:szCs w:val="24"/>
        </w:rPr>
        <w:t xml:space="preserve"> </w:t>
      </w:r>
      <w:r w:rsidRPr="00BF16A5">
        <w:rPr>
          <w:sz w:val="24"/>
          <w:szCs w:val="24"/>
        </w:rPr>
        <w:tab/>
        <w:t xml:space="preserve">Reserve Bank of New Zealand. (2023). </w:t>
      </w:r>
      <w:r w:rsidRPr="00BF16A5">
        <w:rPr>
          <w:i/>
          <w:iCs/>
          <w:sz w:val="24"/>
          <w:szCs w:val="24"/>
        </w:rPr>
        <w:t>Inflation Calculator: 1994 Q4 compared with 2022 Q4.</w:t>
      </w:r>
      <w:r w:rsidRPr="00BF16A5">
        <w:rPr>
          <w:sz w:val="24"/>
          <w:szCs w:val="24"/>
        </w:rPr>
        <w:t xml:space="preserve"> Retrieved from: https://www.rbnz.govt.nz/monetary-policy/about-monetary-policy/inflation-calculator</w:t>
      </w:r>
    </w:p>
  </w:endnote>
  <w:endnote w:id="28">
    <w:p w14:paraId="0A769FBC" w14:textId="44782109" w:rsidR="00A75BAA" w:rsidRPr="00523D02" w:rsidRDefault="00A75BAA" w:rsidP="00352F98">
      <w:pPr>
        <w:pStyle w:val="EndnoteText"/>
        <w:spacing w:after="240"/>
        <w:ind w:left="567" w:hanging="567"/>
        <w:rPr>
          <w:sz w:val="24"/>
          <w:szCs w:val="24"/>
          <w:lang w:val="en-US"/>
        </w:rPr>
      </w:pPr>
      <w:r w:rsidRPr="00523D02">
        <w:rPr>
          <w:rStyle w:val="EndnoteReference"/>
          <w:sz w:val="24"/>
          <w:szCs w:val="24"/>
          <w:vertAlign w:val="baseline"/>
        </w:rPr>
        <w:endnoteRef/>
      </w:r>
      <w:r w:rsidRPr="00523D02">
        <w:rPr>
          <w:sz w:val="24"/>
          <w:szCs w:val="24"/>
        </w:rPr>
        <w:t xml:space="preserve"> </w:t>
      </w:r>
      <w:r w:rsidR="009D2E6B" w:rsidRPr="00523D02">
        <w:rPr>
          <w:sz w:val="24"/>
          <w:szCs w:val="24"/>
        </w:rPr>
        <w:tab/>
      </w:r>
      <w:r w:rsidRPr="00523D02">
        <w:rPr>
          <w:sz w:val="24"/>
          <w:szCs w:val="24"/>
        </w:rPr>
        <w:t xml:space="preserve">New Zealand Parliament. (September 16, 2022). </w:t>
      </w:r>
      <w:r w:rsidR="009D2E6B" w:rsidRPr="00523D02">
        <w:rPr>
          <w:i/>
          <w:iCs/>
          <w:sz w:val="24"/>
          <w:szCs w:val="24"/>
        </w:rPr>
        <w:t>34623 (2022). Hon Louise Upston to the Minister for Social Development and Employment.</w:t>
      </w:r>
      <w:r w:rsidR="009D2E6B" w:rsidRPr="00523D02">
        <w:rPr>
          <w:sz w:val="24"/>
          <w:szCs w:val="24"/>
        </w:rPr>
        <w:t xml:space="preserve"> Retrieved from: </w:t>
      </w:r>
      <w:r w:rsidRPr="00523D02">
        <w:rPr>
          <w:sz w:val="24"/>
          <w:szCs w:val="24"/>
        </w:rPr>
        <w:t>https://www.parliament.nz/en/pb/order-paper-questions/written-questions/document/WQ_34623_2022/34623-2022-hon-louise-upston-to-the-minister-for-social</w:t>
      </w:r>
    </w:p>
  </w:endnote>
  <w:endnote w:id="29">
    <w:p w14:paraId="3486A0EC" w14:textId="60F4A1D7" w:rsidR="00F163EB" w:rsidRPr="00526AF9" w:rsidRDefault="00F163EB" w:rsidP="00352F98">
      <w:pPr>
        <w:pStyle w:val="EndnoteText"/>
        <w:spacing w:after="240"/>
        <w:ind w:left="567" w:hanging="567"/>
        <w:rPr>
          <w:sz w:val="24"/>
          <w:szCs w:val="24"/>
          <w:lang w:val="en-US"/>
        </w:rPr>
      </w:pPr>
      <w:r w:rsidRPr="00523D02">
        <w:rPr>
          <w:rStyle w:val="EndnoteReference"/>
          <w:sz w:val="24"/>
          <w:szCs w:val="24"/>
          <w:vertAlign w:val="baseline"/>
        </w:rPr>
        <w:endnoteRef/>
      </w:r>
      <w:r w:rsidRPr="00523D02">
        <w:rPr>
          <w:sz w:val="24"/>
          <w:szCs w:val="24"/>
        </w:rPr>
        <w:t xml:space="preserve"> </w:t>
      </w:r>
      <w:r w:rsidR="00BB1A9F" w:rsidRPr="00523D02">
        <w:rPr>
          <w:sz w:val="24"/>
          <w:szCs w:val="24"/>
        </w:rPr>
        <w:tab/>
      </w:r>
      <w:r w:rsidRPr="00523D02">
        <w:rPr>
          <w:sz w:val="24"/>
          <w:szCs w:val="24"/>
        </w:rPr>
        <w:t>New Zealand Parliament. (</w:t>
      </w:r>
      <w:r w:rsidR="008C778A" w:rsidRPr="00523D02">
        <w:rPr>
          <w:sz w:val="24"/>
          <w:szCs w:val="24"/>
        </w:rPr>
        <w:t>May 4</w:t>
      </w:r>
      <w:r w:rsidRPr="00523D02">
        <w:rPr>
          <w:sz w:val="24"/>
          <w:szCs w:val="24"/>
        </w:rPr>
        <w:t>, 202</w:t>
      </w:r>
      <w:r w:rsidR="00D637A0">
        <w:rPr>
          <w:sz w:val="24"/>
          <w:szCs w:val="24"/>
        </w:rPr>
        <w:t>1</w:t>
      </w:r>
      <w:r w:rsidRPr="00523D02">
        <w:rPr>
          <w:sz w:val="24"/>
          <w:szCs w:val="24"/>
        </w:rPr>
        <w:t xml:space="preserve">). </w:t>
      </w:r>
      <w:r w:rsidR="00954543" w:rsidRPr="00523D02">
        <w:rPr>
          <w:i/>
          <w:iCs/>
          <w:sz w:val="24"/>
          <w:szCs w:val="24"/>
          <w:lang w:val="en-US"/>
        </w:rPr>
        <w:t>16185</w:t>
      </w:r>
      <w:r w:rsidRPr="00523D02">
        <w:rPr>
          <w:i/>
          <w:iCs/>
          <w:sz w:val="24"/>
          <w:szCs w:val="24"/>
          <w:lang w:val="en-US"/>
        </w:rPr>
        <w:t xml:space="preserve"> (2021). Jan Logie to the Minister for Social Development and Employment</w:t>
      </w:r>
      <w:r w:rsidRPr="00523D02">
        <w:rPr>
          <w:i/>
          <w:iCs/>
          <w:sz w:val="24"/>
          <w:szCs w:val="24"/>
        </w:rPr>
        <w:t>.</w:t>
      </w:r>
      <w:r w:rsidRPr="00523D02">
        <w:rPr>
          <w:sz w:val="24"/>
          <w:szCs w:val="24"/>
        </w:rPr>
        <w:t xml:space="preserve"> Retrieved from: https://www.parliament.nz/en/pb/order-paper-questions/written-questions/document/WQ_16185_2021/16185-2021-jan-logie-to-the-minister-for-social-d</w:t>
      </w:r>
      <w:r w:rsidRPr="00526AF9">
        <w:rPr>
          <w:sz w:val="24"/>
          <w:szCs w:val="24"/>
        </w:rPr>
        <w:t>evelopment</w:t>
      </w:r>
    </w:p>
  </w:endnote>
  <w:endnote w:id="30">
    <w:p w14:paraId="367B5390" w14:textId="3D33E93B" w:rsidR="007E4BAA" w:rsidRPr="00526AF9" w:rsidRDefault="007E4BAA" w:rsidP="00352F98">
      <w:pPr>
        <w:pStyle w:val="EndnoteText"/>
        <w:spacing w:after="240"/>
        <w:ind w:left="567" w:hanging="567"/>
        <w:rPr>
          <w:sz w:val="24"/>
          <w:szCs w:val="24"/>
          <w:lang w:val="en-US"/>
        </w:rPr>
      </w:pPr>
      <w:r w:rsidRPr="00526AF9">
        <w:rPr>
          <w:rStyle w:val="EndnoteReference"/>
          <w:sz w:val="24"/>
          <w:szCs w:val="24"/>
          <w:vertAlign w:val="baseline"/>
        </w:rPr>
        <w:endnoteRef/>
      </w:r>
      <w:r w:rsidRPr="00526AF9">
        <w:rPr>
          <w:sz w:val="24"/>
          <w:szCs w:val="24"/>
        </w:rPr>
        <w:t xml:space="preserve"> </w:t>
      </w:r>
      <w:r w:rsidR="00BE397F" w:rsidRPr="00526AF9">
        <w:rPr>
          <w:sz w:val="24"/>
          <w:szCs w:val="24"/>
        </w:rPr>
        <w:tab/>
      </w:r>
      <w:r w:rsidR="00475F3E" w:rsidRPr="00526AF9">
        <w:rPr>
          <w:sz w:val="24"/>
          <w:szCs w:val="24"/>
        </w:rPr>
        <w:t>Ministry of Business, Innovation and Employme</w:t>
      </w:r>
      <w:r w:rsidR="00BE397F" w:rsidRPr="00526AF9">
        <w:rPr>
          <w:sz w:val="24"/>
          <w:szCs w:val="24"/>
        </w:rPr>
        <w:t xml:space="preserve">nt. (2023). </w:t>
      </w:r>
      <w:r w:rsidR="00BE397F" w:rsidRPr="00526AF9">
        <w:rPr>
          <w:i/>
          <w:iCs/>
          <w:sz w:val="24"/>
          <w:szCs w:val="24"/>
        </w:rPr>
        <w:t>Current minimum wage rates.</w:t>
      </w:r>
      <w:r w:rsidR="00BE397F" w:rsidRPr="00526AF9">
        <w:rPr>
          <w:sz w:val="24"/>
          <w:szCs w:val="24"/>
        </w:rPr>
        <w:t xml:space="preserve"> Retrieved from: </w:t>
      </w:r>
      <w:r w:rsidRPr="00526AF9">
        <w:rPr>
          <w:sz w:val="24"/>
          <w:szCs w:val="24"/>
        </w:rPr>
        <w:t>https://www.employment.govt.nz/hours-and-wages/pay/minimum-wage/minimum-wage-rates/</w:t>
      </w:r>
    </w:p>
  </w:endnote>
  <w:endnote w:id="31">
    <w:p w14:paraId="0A9713C1" w14:textId="77777777" w:rsidR="00826489" w:rsidRPr="00526AF9" w:rsidRDefault="00826489" w:rsidP="00826489">
      <w:pPr>
        <w:pStyle w:val="EndnoteText"/>
        <w:spacing w:after="240"/>
        <w:ind w:left="567" w:hanging="567"/>
        <w:rPr>
          <w:i/>
          <w:iCs/>
          <w:sz w:val="24"/>
          <w:szCs w:val="24"/>
        </w:rPr>
      </w:pPr>
      <w:r w:rsidRPr="00526AF9">
        <w:rPr>
          <w:rStyle w:val="EndnoteReference"/>
          <w:sz w:val="24"/>
          <w:szCs w:val="24"/>
          <w:vertAlign w:val="baseline"/>
        </w:rPr>
        <w:endnoteRef/>
      </w:r>
      <w:r>
        <w:rPr>
          <w:sz w:val="24"/>
          <w:szCs w:val="24"/>
        </w:rPr>
        <w:t xml:space="preserve"> </w:t>
      </w:r>
      <w:r w:rsidRPr="00526AF9">
        <w:rPr>
          <w:sz w:val="24"/>
          <w:szCs w:val="24"/>
        </w:rPr>
        <w:tab/>
        <w:t xml:space="preserve">Karl, M., Pegg, S., &amp; Harpur, P. (2022). Exploring constraints in business travel for disabled workers: An ecological systems perspective. </w:t>
      </w:r>
      <w:r w:rsidRPr="00526AF9">
        <w:rPr>
          <w:i/>
          <w:iCs/>
          <w:sz w:val="24"/>
          <w:szCs w:val="24"/>
        </w:rPr>
        <w:t>Disability &amp; Society, 1-24.</w:t>
      </w:r>
    </w:p>
  </w:endnote>
  <w:endnote w:id="32">
    <w:p w14:paraId="08110F4C" w14:textId="77777777" w:rsidR="005376CF" w:rsidRPr="00480795" w:rsidRDefault="005376CF" w:rsidP="00352F98">
      <w:pPr>
        <w:pStyle w:val="EndnoteText"/>
        <w:spacing w:after="240"/>
        <w:ind w:left="567" w:hanging="567"/>
        <w:rPr>
          <w:sz w:val="24"/>
          <w:szCs w:val="24"/>
          <w:lang w:val="en-US"/>
        </w:rPr>
      </w:pPr>
      <w:r w:rsidRPr="00526AF9">
        <w:rPr>
          <w:rStyle w:val="EndnoteReference"/>
          <w:sz w:val="24"/>
          <w:szCs w:val="24"/>
          <w:vertAlign w:val="baseline"/>
        </w:rPr>
        <w:endnoteRef/>
      </w:r>
      <w:r w:rsidRPr="00526AF9">
        <w:rPr>
          <w:sz w:val="24"/>
          <w:szCs w:val="24"/>
        </w:rPr>
        <w:t xml:space="preserve"> </w:t>
      </w:r>
      <w:r w:rsidRPr="00526AF9">
        <w:rPr>
          <w:sz w:val="24"/>
          <w:szCs w:val="24"/>
        </w:rPr>
        <w:tab/>
        <w:t>New Zealand Parliament.</w:t>
      </w:r>
      <w:r w:rsidRPr="00AD0956">
        <w:rPr>
          <w:sz w:val="24"/>
          <w:szCs w:val="24"/>
        </w:rPr>
        <w:t xml:space="preserve"> (September 16, 2022). </w:t>
      </w:r>
      <w:r w:rsidRPr="00A75BAA">
        <w:rPr>
          <w:i/>
          <w:iCs/>
          <w:sz w:val="24"/>
          <w:szCs w:val="24"/>
        </w:rPr>
        <w:t>34609 (2022). Hon Louise Upston to the Minister for Social Development and Employment.</w:t>
      </w:r>
      <w:r w:rsidRPr="00AD0956">
        <w:rPr>
          <w:sz w:val="24"/>
          <w:szCs w:val="24"/>
        </w:rPr>
        <w:t xml:space="preserve"> Retrieved from: https://www.parliament.nz/en/pb/order-paper-questions/written-questi</w:t>
      </w:r>
      <w:r w:rsidRPr="00E811D9">
        <w:rPr>
          <w:sz w:val="24"/>
          <w:szCs w:val="24"/>
        </w:rPr>
        <w:t>ons/document/WQ_34609_2022/34609-2022-hon-louise-upston-to-the-minister-for-</w:t>
      </w:r>
      <w:r w:rsidRPr="00B2317B">
        <w:rPr>
          <w:sz w:val="24"/>
          <w:szCs w:val="24"/>
        </w:rPr>
        <w:t>s</w:t>
      </w:r>
      <w:r w:rsidRPr="00480795">
        <w:rPr>
          <w:sz w:val="24"/>
          <w:szCs w:val="24"/>
        </w:rPr>
        <w:t>ocial</w:t>
      </w:r>
    </w:p>
  </w:endnote>
  <w:endnote w:id="33">
    <w:p w14:paraId="08922632" w14:textId="4B9ACB11" w:rsidR="00C16501" w:rsidRPr="00F64099" w:rsidRDefault="00C16501" w:rsidP="00C16501">
      <w:pPr>
        <w:pStyle w:val="EndnoteText"/>
        <w:spacing w:after="240"/>
        <w:ind w:left="567" w:hanging="567"/>
        <w:rPr>
          <w:sz w:val="24"/>
          <w:szCs w:val="24"/>
          <w:lang w:val="en-US"/>
        </w:rPr>
      </w:pPr>
      <w:r w:rsidRPr="00480795">
        <w:rPr>
          <w:rStyle w:val="EndnoteReference"/>
          <w:sz w:val="24"/>
          <w:szCs w:val="24"/>
          <w:vertAlign w:val="baseline"/>
        </w:rPr>
        <w:endnoteRef/>
      </w:r>
      <w:r w:rsidRPr="00480795">
        <w:rPr>
          <w:sz w:val="24"/>
          <w:szCs w:val="24"/>
        </w:rPr>
        <w:t xml:space="preserve"> </w:t>
      </w:r>
      <w:r w:rsidRPr="00480795">
        <w:rPr>
          <w:sz w:val="24"/>
          <w:szCs w:val="24"/>
        </w:rPr>
        <w:tab/>
      </w:r>
      <w:r w:rsidR="00C531E1" w:rsidRPr="00C531E1">
        <w:rPr>
          <w:sz w:val="24"/>
          <w:szCs w:val="24"/>
        </w:rPr>
        <w:t>Parliamentary Counsel Office. (September 28, 2023). Social Security Act 2018. Retrieved from: https://www.legislation.govt.nz/act/public/2018/0032/latest/DLM6783115.html</w:t>
      </w:r>
    </w:p>
  </w:endnote>
  <w:endnote w:id="34">
    <w:p w14:paraId="3DF370EE" w14:textId="7357093E" w:rsidR="00A13833" w:rsidRPr="00F64099" w:rsidRDefault="00A13833" w:rsidP="00F64099">
      <w:pPr>
        <w:pStyle w:val="EndnoteText"/>
        <w:spacing w:after="240"/>
        <w:ind w:left="567" w:hanging="567"/>
        <w:rPr>
          <w:sz w:val="24"/>
          <w:szCs w:val="24"/>
          <w:lang w:val="en-US"/>
        </w:rPr>
      </w:pPr>
      <w:r w:rsidRPr="00F64099">
        <w:rPr>
          <w:rStyle w:val="EndnoteReference"/>
          <w:sz w:val="24"/>
          <w:szCs w:val="24"/>
          <w:vertAlign w:val="baseline"/>
        </w:rPr>
        <w:endnoteRef/>
      </w:r>
      <w:r w:rsidRPr="00F64099">
        <w:rPr>
          <w:sz w:val="24"/>
          <w:szCs w:val="24"/>
        </w:rPr>
        <w:t xml:space="preserve"> </w:t>
      </w:r>
      <w:r w:rsidR="00480795" w:rsidRPr="00F64099">
        <w:rPr>
          <w:sz w:val="24"/>
          <w:szCs w:val="24"/>
        </w:rPr>
        <w:tab/>
      </w:r>
      <w:r w:rsidR="00750FBA" w:rsidRPr="00F64099">
        <w:rPr>
          <w:sz w:val="24"/>
          <w:szCs w:val="24"/>
        </w:rPr>
        <w:t>Parliamentary</w:t>
      </w:r>
      <w:r w:rsidR="00750FBA" w:rsidRPr="00480795">
        <w:rPr>
          <w:sz w:val="24"/>
          <w:szCs w:val="24"/>
        </w:rPr>
        <w:t xml:space="preserve"> Counsel Office. (</w:t>
      </w:r>
      <w:r w:rsidR="00480795" w:rsidRPr="00480795">
        <w:rPr>
          <w:sz w:val="24"/>
          <w:szCs w:val="24"/>
        </w:rPr>
        <w:t>October 11</w:t>
      </w:r>
      <w:r w:rsidR="00750FBA" w:rsidRPr="00480795">
        <w:rPr>
          <w:sz w:val="24"/>
          <w:szCs w:val="24"/>
        </w:rPr>
        <w:t>, 20</w:t>
      </w:r>
      <w:r w:rsidR="00480795" w:rsidRPr="00480795">
        <w:rPr>
          <w:sz w:val="24"/>
          <w:szCs w:val="24"/>
        </w:rPr>
        <w:t>01</w:t>
      </w:r>
      <w:r w:rsidR="00750FBA" w:rsidRPr="00480795">
        <w:rPr>
          <w:sz w:val="24"/>
          <w:szCs w:val="24"/>
        </w:rPr>
        <w:t xml:space="preserve">). </w:t>
      </w:r>
      <w:r w:rsidR="00750FBA" w:rsidRPr="00480795">
        <w:rPr>
          <w:i/>
          <w:iCs/>
          <w:sz w:val="24"/>
          <w:szCs w:val="24"/>
        </w:rPr>
        <w:t xml:space="preserve">New Zealand </w:t>
      </w:r>
      <w:r w:rsidR="00750FBA" w:rsidRPr="00F64099">
        <w:rPr>
          <w:i/>
          <w:iCs/>
          <w:sz w:val="24"/>
          <w:szCs w:val="24"/>
        </w:rPr>
        <w:t xml:space="preserve">Superannuation and Retirement Income Act 2001. </w:t>
      </w:r>
      <w:r w:rsidR="00750FBA" w:rsidRPr="00F64099">
        <w:rPr>
          <w:sz w:val="24"/>
          <w:szCs w:val="24"/>
        </w:rPr>
        <w:t xml:space="preserve">Retrieved </w:t>
      </w:r>
      <w:r w:rsidR="00D95F6D">
        <w:rPr>
          <w:sz w:val="24"/>
          <w:szCs w:val="24"/>
        </w:rPr>
        <w:t>f</w:t>
      </w:r>
      <w:r w:rsidR="00750FBA" w:rsidRPr="00F64099">
        <w:rPr>
          <w:sz w:val="24"/>
          <w:szCs w:val="24"/>
        </w:rPr>
        <w:t>rom: https://www.legislation.govt.nz/act/public/2001/0084/latest/DLM113924.html</w:t>
      </w:r>
    </w:p>
  </w:endnote>
  <w:endnote w:id="35">
    <w:p w14:paraId="4C55BDD6" w14:textId="77777777" w:rsidR="00B12404" w:rsidRPr="00F64099" w:rsidRDefault="00B12404" w:rsidP="00B12404">
      <w:pPr>
        <w:pStyle w:val="EndnoteText"/>
        <w:spacing w:after="240"/>
        <w:ind w:left="567" w:hanging="567"/>
        <w:rPr>
          <w:sz w:val="24"/>
          <w:szCs w:val="24"/>
          <w:lang w:val="en-US"/>
        </w:rPr>
      </w:pPr>
      <w:r w:rsidRPr="00F64099">
        <w:rPr>
          <w:rStyle w:val="EndnoteReference"/>
          <w:sz w:val="24"/>
          <w:szCs w:val="24"/>
          <w:vertAlign w:val="baseline"/>
        </w:rPr>
        <w:endnoteRef/>
      </w:r>
      <w:r w:rsidRPr="00F64099">
        <w:rPr>
          <w:sz w:val="24"/>
          <w:szCs w:val="24"/>
        </w:rPr>
        <w:t xml:space="preserve"> </w:t>
      </w:r>
      <w:r>
        <w:rPr>
          <w:sz w:val="24"/>
          <w:szCs w:val="24"/>
        </w:rPr>
        <w:tab/>
      </w:r>
      <w:r w:rsidRPr="00F64099">
        <w:rPr>
          <w:sz w:val="24"/>
          <w:szCs w:val="24"/>
        </w:rPr>
        <w:t xml:space="preserve">Enabling Good Lives. (2023). </w:t>
      </w:r>
      <w:r w:rsidRPr="00F64099">
        <w:rPr>
          <w:i/>
          <w:iCs/>
          <w:sz w:val="24"/>
          <w:szCs w:val="24"/>
        </w:rPr>
        <w:t>Enabling Good Lives Approach.</w:t>
      </w:r>
      <w:r w:rsidRPr="00F64099">
        <w:rPr>
          <w:sz w:val="24"/>
          <w:szCs w:val="24"/>
        </w:rPr>
        <w:t xml:space="preserve"> Retrieved from: https://www.enablinggoodlives.co.nz/about-egl/egl-approach/</w:t>
      </w:r>
    </w:p>
  </w:endnote>
  <w:endnote w:id="36">
    <w:p w14:paraId="3A1F9E11" w14:textId="55D9F617" w:rsidR="0040316C" w:rsidRPr="00D53BC8" w:rsidRDefault="0040316C" w:rsidP="00F64099">
      <w:pPr>
        <w:pStyle w:val="EndnoteText"/>
        <w:spacing w:after="240"/>
        <w:ind w:left="567" w:hanging="567"/>
        <w:rPr>
          <w:sz w:val="24"/>
          <w:szCs w:val="24"/>
          <w:lang w:val="en-US"/>
        </w:rPr>
      </w:pPr>
      <w:r w:rsidRPr="00F64099">
        <w:rPr>
          <w:rStyle w:val="EndnoteReference"/>
          <w:sz w:val="24"/>
          <w:szCs w:val="24"/>
          <w:vertAlign w:val="baseline"/>
        </w:rPr>
        <w:endnoteRef/>
      </w:r>
      <w:r w:rsidRPr="00F64099">
        <w:rPr>
          <w:sz w:val="24"/>
          <w:szCs w:val="24"/>
        </w:rPr>
        <w:t xml:space="preserve"> </w:t>
      </w:r>
      <w:r w:rsidRPr="00F64099">
        <w:rPr>
          <w:sz w:val="24"/>
          <w:szCs w:val="24"/>
        </w:rPr>
        <w:tab/>
        <w:t>Ministry</w:t>
      </w:r>
      <w:r w:rsidRPr="00480795">
        <w:rPr>
          <w:sz w:val="24"/>
          <w:szCs w:val="24"/>
        </w:rPr>
        <w:t xml:space="preserve"> of Social Development</w:t>
      </w:r>
      <w:r w:rsidRPr="00BE397F">
        <w:rPr>
          <w:sz w:val="24"/>
          <w:szCs w:val="24"/>
        </w:rPr>
        <w:t xml:space="preserve">. (2023). </w:t>
      </w:r>
      <w:r w:rsidRPr="00BE397F">
        <w:rPr>
          <w:i/>
          <w:iCs/>
          <w:sz w:val="24"/>
          <w:szCs w:val="24"/>
        </w:rPr>
        <w:t>Modifications to your workplace.</w:t>
      </w:r>
      <w:r w:rsidRPr="00BE397F">
        <w:rPr>
          <w:sz w:val="24"/>
          <w:szCs w:val="24"/>
        </w:rPr>
        <w:t xml:space="preserve"> </w:t>
      </w:r>
      <w:r w:rsidR="00D95F6D">
        <w:rPr>
          <w:sz w:val="24"/>
          <w:szCs w:val="24"/>
        </w:rPr>
        <w:t xml:space="preserve">Retrieved </w:t>
      </w:r>
      <w:r w:rsidRPr="00BE397F">
        <w:rPr>
          <w:sz w:val="24"/>
          <w:szCs w:val="24"/>
        </w:rPr>
        <w:t>from: https://www.workandincome.govt.nz/employers/subsidies-training-and-other-h</w:t>
      </w:r>
      <w:r w:rsidRPr="00D53BC8">
        <w:rPr>
          <w:sz w:val="24"/>
          <w:szCs w:val="24"/>
        </w:rPr>
        <w:t>elp/modification-grant-for-your-business.html</w:t>
      </w:r>
    </w:p>
  </w:endnote>
  <w:endnote w:id="37">
    <w:p w14:paraId="69FFB336" w14:textId="7938DB24" w:rsidR="0040316C" w:rsidRPr="00D53BC8" w:rsidRDefault="0040316C" w:rsidP="00352F98">
      <w:pPr>
        <w:pStyle w:val="EndnoteText"/>
        <w:spacing w:after="240"/>
        <w:ind w:left="567" w:hanging="567"/>
        <w:rPr>
          <w:sz w:val="24"/>
          <w:szCs w:val="24"/>
          <w:lang w:val="en-US"/>
        </w:rPr>
      </w:pPr>
      <w:r w:rsidRPr="00D53BC8">
        <w:rPr>
          <w:rStyle w:val="EndnoteReference"/>
          <w:sz w:val="24"/>
          <w:szCs w:val="24"/>
          <w:vertAlign w:val="baseline"/>
        </w:rPr>
        <w:endnoteRef/>
      </w:r>
      <w:r w:rsidRPr="00D53BC8">
        <w:rPr>
          <w:sz w:val="24"/>
          <w:szCs w:val="24"/>
        </w:rPr>
        <w:t xml:space="preserve"> </w:t>
      </w:r>
      <w:r w:rsidRPr="00D53BC8">
        <w:rPr>
          <w:sz w:val="24"/>
          <w:szCs w:val="24"/>
        </w:rPr>
        <w:tab/>
        <w:t xml:space="preserve">Ministry of Social Development. (2023). </w:t>
      </w:r>
      <w:r w:rsidRPr="00D53BC8">
        <w:rPr>
          <w:i/>
          <w:iCs/>
          <w:sz w:val="24"/>
          <w:szCs w:val="24"/>
        </w:rPr>
        <w:t>Mainstream programmes</w:t>
      </w:r>
      <w:r w:rsidRPr="00D53BC8">
        <w:rPr>
          <w:sz w:val="24"/>
          <w:szCs w:val="24"/>
        </w:rPr>
        <w:t xml:space="preserve">. </w:t>
      </w:r>
      <w:r w:rsidR="000D1F3E">
        <w:rPr>
          <w:sz w:val="24"/>
          <w:szCs w:val="24"/>
        </w:rPr>
        <w:t>Retrieved</w:t>
      </w:r>
      <w:r w:rsidRPr="00D53BC8">
        <w:rPr>
          <w:sz w:val="24"/>
          <w:szCs w:val="24"/>
        </w:rPr>
        <w:t xml:space="preserve"> from: https://www.workandincome.govt.nz/products/a-z-benefits/mainstream-programmes.html</w:t>
      </w:r>
    </w:p>
  </w:endnote>
  <w:endnote w:id="38">
    <w:p w14:paraId="118B11EF" w14:textId="24AB668D" w:rsidR="0040316C" w:rsidRPr="00D53BC8" w:rsidRDefault="0040316C" w:rsidP="00352F98">
      <w:pPr>
        <w:pStyle w:val="EndnoteText"/>
        <w:spacing w:after="240"/>
        <w:ind w:left="567" w:hanging="567"/>
        <w:rPr>
          <w:sz w:val="24"/>
          <w:szCs w:val="24"/>
          <w:lang w:val="en-US"/>
        </w:rPr>
      </w:pPr>
      <w:r w:rsidRPr="00D53BC8">
        <w:rPr>
          <w:rStyle w:val="EndnoteReference"/>
          <w:sz w:val="24"/>
          <w:szCs w:val="24"/>
          <w:vertAlign w:val="baseline"/>
        </w:rPr>
        <w:endnoteRef/>
      </w:r>
      <w:r w:rsidRPr="00D53BC8">
        <w:rPr>
          <w:sz w:val="24"/>
          <w:szCs w:val="24"/>
        </w:rPr>
        <w:t xml:space="preserve"> </w:t>
      </w:r>
      <w:r w:rsidRPr="00D53BC8">
        <w:rPr>
          <w:sz w:val="24"/>
          <w:szCs w:val="24"/>
        </w:rPr>
        <w:tab/>
        <w:t xml:space="preserve">Ministry of Social Development. (2023). </w:t>
      </w:r>
      <w:r w:rsidRPr="00D53BC8">
        <w:rPr>
          <w:i/>
          <w:iCs/>
          <w:sz w:val="24"/>
          <w:szCs w:val="24"/>
        </w:rPr>
        <w:t>Mana in Mahi - For employers</w:t>
      </w:r>
      <w:r w:rsidRPr="00D53BC8">
        <w:rPr>
          <w:sz w:val="24"/>
          <w:szCs w:val="24"/>
        </w:rPr>
        <w:t xml:space="preserve">. </w:t>
      </w:r>
      <w:r w:rsidR="000D1F3E">
        <w:rPr>
          <w:sz w:val="24"/>
          <w:szCs w:val="24"/>
        </w:rPr>
        <w:t>Retrieved</w:t>
      </w:r>
      <w:r w:rsidRPr="00D53BC8">
        <w:rPr>
          <w:sz w:val="24"/>
          <w:szCs w:val="24"/>
        </w:rPr>
        <w:t xml:space="preserve"> from: https://www.workandincome.govt.nz/employers/subsidies-training-and-other-help/mana-in-mahi.html</w:t>
      </w:r>
    </w:p>
  </w:endnote>
  <w:endnote w:id="39">
    <w:p w14:paraId="1F3BC635" w14:textId="2BAF750C" w:rsidR="0040316C" w:rsidRPr="00D53BC8" w:rsidRDefault="0040316C" w:rsidP="00352F98">
      <w:pPr>
        <w:pStyle w:val="EndnoteText"/>
        <w:spacing w:after="240"/>
        <w:ind w:left="567" w:hanging="567"/>
        <w:rPr>
          <w:sz w:val="24"/>
          <w:szCs w:val="24"/>
          <w:lang w:val="en-US"/>
        </w:rPr>
      </w:pPr>
      <w:r w:rsidRPr="00D53BC8">
        <w:rPr>
          <w:rStyle w:val="EndnoteReference"/>
          <w:sz w:val="24"/>
          <w:szCs w:val="24"/>
          <w:vertAlign w:val="baseline"/>
        </w:rPr>
        <w:endnoteRef/>
      </w:r>
      <w:r w:rsidRPr="00D53BC8">
        <w:rPr>
          <w:sz w:val="24"/>
          <w:szCs w:val="24"/>
        </w:rPr>
        <w:t xml:space="preserve"> </w:t>
      </w:r>
      <w:r w:rsidRPr="00D53BC8">
        <w:rPr>
          <w:sz w:val="24"/>
          <w:szCs w:val="24"/>
        </w:rPr>
        <w:tab/>
        <w:t xml:space="preserve">Ministry of Social Development. (2023). </w:t>
      </w:r>
      <w:r w:rsidRPr="00D53BC8">
        <w:rPr>
          <w:i/>
          <w:iCs/>
          <w:sz w:val="24"/>
          <w:szCs w:val="24"/>
        </w:rPr>
        <w:t>Flexi-wage – job seeker information</w:t>
      </w:r>
      <w:r w:rsidRPr="00D53BC8">
        <w:rPr>
          <w:sz w:val="24"/>
          <w:szCs w:val="24"/>
        </w:rPr>
        <w:t xml:space="preserve">. </w:t>
      </w:r>
      <w:r w:rsidR="000D1F3E">
        <w:rPr>
          <w:sz w:val="24"/>
          <w:szCs w:val="24"/>
        </w:rPr>
        <w:t>Retrieved</w:t>
      </w:r>
      <w:r w:rsidRPr="00D53BC8">
        <w:rPr>
          <w:sz w:val="24"/>
          <w:szCs w:val="24"/>
        </w:rPr>
        <w:t xml:space="preserve"> from: https://www.workandincome.govt.nz/products/a-z-benefits/flexi-wage.html</w:t>
      </w:r>
    </w:p>
  </w:endnote>
  <w:endnote w:id="40">
    <w:p w14:paraId="532FA490" w14:textId="720298C4" w:rsidR="0040316C" w:rsidRPr="00D53BC8" w:rsidRDefault="0040316C" w:rsidP="00352F98">
      <w:pPr>
        <w:spacing w:line="240" w:lineRule="auto"/>
        <w:ind w:left="567" w:hanging="567"/>
        <w:rPr>
          <w:szCs w:val="24"/>
          <w:lang w:val="en-US"/>
        </w:rPr>
      </w:pPr>
      <w:r w:rsidRPr="00D53BC8">
        <w:rPr>
          <w:rStyle w:val="EndnoteReference"/>
          <w:szCs w:val="24"/>
          <w:vertAlign w:val="baseline"/>
        </w:rPr>
        <w:endnoteRef/>
      </w:r>
      <w:r w:rsidR="00BE7DA0">
        <w:rPr>
          <w:szCs w:val="24"/>
        </w:rPr>
        <w:t xml:space="preserve"> </w:t>
      </w:r>
      <w:r w:rsidRPr="00D53BC8">
        <w:rPr>
          <w:szCs w:val="24"/>
        </w:rPr>
        <w:tab/>
        <w:t xml:space="preserve">Workbridge. (2022). </w:t>
      </w:r>
      <w:r w:rsidRPr="00D53BC8">
        <w:rPr>
          <w:i/>
          <w:iCs/>
          <w:szCs w:val="24"/>
        </w:rPr>
        <w:t>Job Support Funds Operational Guidelines</w:t>
      </w:r>
      <w:r w:rsidRPr="00D53BC8">
        <w:rPr>
          <w:szCs w:val="24"/>
        </w:rPr>
        <w:t>. Retrieved from: https://supportfunds.co.nz/wp-content/uploads/2021/10/Workbridge-Job-Support-Funds-Operational-Guidelines-July-2018-V1-FINAL.pdf</w:t>
      </w:r>
    </w:p>
  </w:endnote>
  <w:endnote w:id="41">
    <w:p w14:paraId="65C902D3" w14:textId="19FEC0FB" w:rsidR="0040316C" w:rsidRPr="00951FB0" w:rsidRDefault="0040316C" w:rsidP="00352F98">
      <w:pPr>
        <w:spacing w:line="240" w:lineRule="auto"/>
        <w:ind w:left="567" w:hanging="567"/>
        <w:rPr>
          <w:szCs w:val="24"/>
          <w:lang w:val="en-US"/>
        </w:rPr>
      </w:pPr>
      <w:r w:rsidRPr="00951FB0">
        <w:rPr>
          <w:rStyle w:val="EndnoteReference"/>
          <w:szCs w:val="24"/>
          <w:vertAlign w:val="baseline"/>
        </w:rPr>
        <w:endnoteRef/>
      </w:r>
      <w:r w:rsidR="00BE7DA0">
        <w:rPr>
          <w:szCs w:val="24"/>
        </w:rPr>
        <w:t xml:space="preserve"> </w:t>
      </w:r>
      <w:r w:rsidRPr="00951FB0">
        <w:rPr>
          <w:szCs w:val="24"/>
        </w:rPr>
        <w:tab/>
        <w:t xml:space="preserve">Workbridge. (2022). </w:t>
      </w:r>
      <w:r w:rsidRPr="00951FB0">
        <w:rPr>
          <w:i/>
          <w:iCs/>
          <w:szCs w:val="24"/>
        </w:rPr>
        <w:t>Training Support Funds Operational Guidelines</w:t>
      </w:r>
      <w:r w:rsidRPr="00951FB0">
        <w:rPr>
          <w:szCs w:val="24"/>
        </w:rPr>
        <w:t xml:space="preserve">. Retrieved from: </w:t>
      </w:r>
      <w:r w:rsidRPr="00951FB0">
        <w:rPr>
          <w:szCs w:val="24"/>
          <w:lang w:eastAsia="en-NZ"/>
        </w:rPr>
        <w:t>https://supportfunds.co.nz/wp-content/uploads/2021/10/Workbridge-Training-Support-Funds-Operational-Guidelines-July-2018-FINAL.pdf</w:t>
      </w:r>
    </w:p>
  </w:endnote>
  <w:endnote w:id="42">
    <w:p w14:paraId="2815EB52" w14:textId="77777777" w:rsidR="00005FA9" w:rsidRPr="00951FB0" w:rsidRDefault="00005FA9"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(May 4, 2021). </w:t>
      </w:r>
      <w:r w:rsidRPr="00951FB0">
        <w:rPr>
          <w:i/>
          <w:iCs/>
          <w:sz w:val="24"/>
          <w:szCs w:val="24"/>
        </w:rPr>
        <w:t xml:space="preserve">16187 (2021). Jan Logie to the Minister for Social Development and Employment. </w:t>
      </w:r>
      <w:r w:rsidRPr="00951FB0">
        <w:rPr>
          <w:sz w:val="24"/>
          <w:szCs w:val="24"/>
        </w:rPr>
        <w:t>Retrieved from: https://www.parliament.nz/mi/pb/order-paper-questions/written-questions/document/WQ_16187_2021/16187-2021-jan-logie-to-the-minister-for-social-development</w:t>
      </w:r>
    </w:p>
  </w:endnote>
  <w:endnote w:id="43">
    <w:p w14:paraId="3AA6A484" w14:textId="77777777" w:rsidR="00005FA9" w:rsidRPr="00951FB0" w:rsidRDefault="00005FA9"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(May 4, 2021). </w:t>
      </w:r>
      <w:r w:rsidRPr="00951FB0">
        <w:rPr>
          <w:i/>
          <w:iCs/>
          <w:sz w:val="24"/>
          <w:szCs w:val="24"/>
        </w:rPr>
        <w:t xml:space="preserve">16186 (2021). Jan Logie to the Minister for Social Development and Employment. </w:t>
      </w:r>
      <w:r w:rsidRPr="00951FB0">
        <w:rPr>
          <w:sz w:val="24"/>
          <w:szCs w:val="24"/>
        </w:rPr>
        <w:t>Retrieved from: https://www.parliament.nz/en/pb/order-paper-questions/written-questions/document/WQ_16186_2021/16186-2021-jan-logie-to-the-minister-for-social-development</w:t>
      </w:r>
    </w:p>
  </w:endnote>
  <w:endnote w:id="44">
    <w:p w14:paraId="640379FC" w14:textId="77777777" w:rsidR="00D83EFB" w:rsidRPr="00951FB0" w:rsidRDefault="00D83EFB"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(June 22, 2021). </w:t>
      </w:r>
      <w:r w:rsidRPr="00951FB0">
        <w:rPr>
          <w:i/>
          <w:iCs/>
          <w:sz w:val="24"/>
          <w:szCs w:val="24"/>
        </w:rPr>
        <w:t xml:space="preserve">26088 (2021). Jan Logie to the Minister for Disability Issues. </w:t>
      </w:r>
      <w:r w:rsidRPr="00951FB0">
        <w:rPr>
          <w:sz w:val="24"/>
          <w:szCs w:val="24"/>
        </w:rPr>
        <w:t>Retrieved from: https://www.parliament.nz/en/pb/order-paper-questions/written-questions/document/WQ_26088_2021/26088-2021-jan-logie-to-the-minister-for-disability</w:t>
      </w:r>
    </w:p>
  </w:endnote>
  <w:endnote w:id="45">
    <w:p w14:paraId="393799CF" w14:textId="77777777" w:rsidR="008B5BC6" w:rsidRPr="00951FB0" w:rsidRDefault="008B5BC6"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(June 22, 2021). </w:t>
      </w:r>
      <w:r w:rsidRPr="00951FB0">
        <w:rPr>
          <w:i/>
          <w:iCs/>
          <w:sz w:val="24"/>
          <w:szCs w:val="24"/>
        </w:rPr>
        <w:t xml:space="preserve">26089 (2021). Jan Logie to the Minister for Disability Issues. </w:t>
      </w:r>
      <w:r w:rsidRPr="00951FB0">
        <w:rPr>
          <w:sz w:val="24"/>
          <w:szCs w:val="24"/>
        </w:rPr>
        <w:t xml:space="preserve">Retrieved from: </w:t>
      </w:r>
      <w:r w:rsidRPr="00951FB0">
        <w:rPr>
          <w:bCs/>
          <w:sz w:val="24"/>
          <w:szCs w:val="24"/>
        </w:rPr>
        <w:t>https://www.parliament.nz/en/pb/order-paper-questions/written-questions/document/WQ_26089_2021/26089-2021-jan-logie-to-the-minister-for-disability</w:t>
      </w:r>
    </w:p>
  </w:endnote>
  <w:endnote w:id="46">
    <w:p w14:paraId="1AA57C62" w14:textId="13396D21" w:rsidR="0080287E" w:rsidRPr="00951FB0" w:rsidRDefault="0080287E" w:rsidP="00352F98">
      <w:pPr>
        <w:pStyle w:val="EndnoteText"/>
        <w:spacing w:after="240"/>
        <w:ind w:left="567" w:hanging="567"/>
        <w:rPr>
          <w:sz w:val="24"/>
          <w:szCs w:val="24"/>
        </w:rPr>
      </w:pPr>
      <w:r w:rsidRPr="00951FB0">
        <w:rPr>
          <w:rStyle w:val="EndnoteReference"/>
          <w:sz w:val="24"/>
          <w:szCs w:val="24"/>
          <w:vertAlign w:val="baseline"/>
        </w:rPr>
        <w:endnoteRef/>
      </w:r>
      <w:r w:rsidRPr="00951FB0">
        <w:rPr>
          <w:sz w:val="24"/>
          <w:szCs w:val="24"/>
        </w:rPr>
        <w:t xml:space="preserve"> </w:t>
      </w:r>
      <w:r w:rsidR="00951FB0">
        <w:rPr>
          <w:sz w:val="24"/>
          <w:szCs w:val="24"/>
        </w:rPr>
        <w:tab/>
      </w:r>
      <w:r w:rsidRPr="00951FB0">
        <w:rPr>
          <w:sz w:val="24"/>
          <w:szCs w:val="24"/>
        </w:rPr>
        <w:t xml:space="preserve">New Zealand Parliament. (June 22, 2021). </w:t>
      </w:r>
      <w:r w:rsidRPr="00951FB0">
        <w:rPr>
          <w:i/>
          <w:iCs/>
          <w:sz w:val="24"/>
          <w:szCs w:val="24"/>
        </w:rPr>
        <w:t xml:space="preserve">26098 (2021). Jan Logie to the Minister for Disability Issues. </w:t>
      </w:r>
      <w:r w:rsidRPr="00951FB0">
        <w:rPr>
          <w:sz w:val="24"/>
          <w:szCs w:val="24"/>
        </w:rPr>
        <w:t>Retrieved from: https://www.parliament.nz/en/pb/order-paper-questions/written-questions/document/WQ_26098_2021/26098-2021-jan-logie-to-the-minister-for-disability</w:t>
      </w:r>
    </w:p>
  </w:endnote>
  <w:endnote w:id="47">
    <w:p w14:paraId="48B2E15B" w14:textId="77777777" w:rsidR="00005FA9" w:rsidRPr="00951FB0" w:rsidRDefault="00005FA9"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(June 1, 2022). </w:t>
      </w:r>
      <w:r w:rsidRPr="00951FB0">
        <w:rPr>
          <w:i/>
          <w:iCs/>
          <w:sz w:val="24"/>
          <w:szCs w:val="24"/>
        </w:rPr>
        <w:t xml:space="preserve">17438 (2022). Jan Logie to the Minister for Disability Issues. </w:t>
      </w:r>
      <w:r w:rsidRPr="00951FB0">
        <w:rPr>
          <w:sz w:val="24"/>
          <w:szCs w:val="24"/>
        </w:rPr>
        <w:t>Retrieved from: https://www.parliament.nz/en/pb/order-paper-questions/written-questions/document/WQ_17438_2022/17438-2022-jan-logie-to-the-minister-for-disability</w:t>
      </w:r>
    </w:p>
  </w:endnote>
  <w:endnote w:id="48">
    <w:p w14:paraId="55BFE3D4" w14:textId="77777777" w:rsidR="006D6BBD" w:rsidRPr="00951FB0" w:rsidRDefault="006D6BBD"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(June 1, 2022). </w:t>
      </w:r>
      <w:r w:rsidRPr="00951FB0">
        <w:rPr>
          <w:i/>
          <w:iCs/>
          <w:sz w:val="24"/>
          <w:szCs w:val="24"/>
        </w:rPr>
        <w:t xml:space="preserve">17439 (2022). Jan Logie to the Minister for Disability Issues. </w:t>
      </w:r>
      <w:r w:rsidRPr="00951FB0">
        <w:rPr>
          <w:sz w:val="24"/>
          <w:szCs w:val="24"/>
        </w:rPr>
        <w:t>Retrieved from: https://www.parliament.nz/en/pb/order-paper-questions/written-questions/document/WQ_17439_2022/17439-2022-jan-logie-to-the-minister-for-disability</w:t>
      </w:r>
    </w:p>
  </w:endnote>
  <w:endnote w:id="49">
    <w:p w14:paraId="7C94D27F" w14:textId="77777777" w:rsidR="005C4C21" w:rsidRPr="00951FB0" w:rsidRDefault="005C4C21"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(June 1, 2022). </w:t>
      </w:r>
      <w:r w:rsidRPr="00951FB0">
        <w:rPr>
          <w:i/>
          <w:iCs/>
          <w:sz w:val="24"/>
          <w:szCs w:val="24"/>
        </w:rPr>
        <w:t xml:space="preserve">17440 (2022). Jan Logie to the Minister for Disability Issues. </w:t>
      </w:r>
      <w:r w:rsidRPr="00951FB0">
        <w:rPr>
          <w:sz w:val="24"/>
          <w:szCs w:val="24"/>
        </w:rPr>
        <w:t>Retrieved from: https://www.parliament.nz/en/pb/order-paper-questions/written-questions/document/WQ_17440_2022/17440-2022-jan-logie-to-the-minister-for-disability</w:t>
      </w:r>
    </w:p>
  </w:endnote>
  <w:endnote w:id="50">
    <w:p w14:paraId="6959D5C4" w14:textId="77777777" w:rsidR="00005FA9" w:rsidRPr="00951FB0" w:rsidRDefault="00005FA9"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(June 1, 2022). </w:t>
      </w:r>
      <w:r w:rsidRPr="00951FB0">
        <w:rPr>
          <w:i/>
          <w:iCs/>
          <w:sz w:val="24"/>
          <w:szCs w:val="24"/>
        </w:rPr>
        <w:t xml:space="preserve">17448 (2022). Jan Logie to the Minister for Disability Issues. </w:t>
      </w:r>
      <w:r w:rsidRPr="00951FB0">
        <w:rPr>
          <w:sz w:val="24"/>
          <w:szCs w:val="24"/>
        </w:rPr>
        <w:t>Retrieved from: https://www.parliament.nz/en/pb/order-paper-questions/written-questions/document/WQ_17448_2022/17448-2022-jan-logie-to-the-minister-for-disability</w:t>
      </w:r>
    </w:p>
  </w:endnote>
  <w:endnote w:id="51">
    <w:p w14:paraId="5983D64A" w14:textId="77777777" w:rsidR="00005FA9" w:rsidRPr="00951FB0" w:rsidRDefault="00005FA9"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(June 1, 2022). </w:t>
      </w:r>
      <w:r w:rsidRPr="00951FB0">
        <w:rPr>
          <w:i/>
          <w:iCs/>
          <w:sz w:val="24"/>
          <w:szCs w:val="24"/>
        </w:rPr>
        <w:t xml:space="preserve">17449 (2022). Jan Logie to the Minister for Disability Issues. </w:t>
      </w:r>
      <w:r w:rsidRPr="00951FB0">
        <w:rPr>
          <w:sz w:val="24"/>
          <w:szCs w:val="24"/>
        </w:rPr>
        <w:t>Retrieved from: https://www.parliament.nz/en/pb/order-paper-questions/written-questions/document/WQ_17449_2022/17449-2022-jan-logie-to-the-minister-for-disability</w:t>
      </w:r>
    </w:p>
  </w:endnote>
  <w:endnote w:id="52">
    <w:p w14:paraId="3EBC750A" w14:textId="77777777" w:rsidR="00005FA9" w:rsidRPr="00951FB0" w:rsidRDefault="00005FA9"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(June 1, 2022). </w:t>
      </w:r>
      <w:r w:rsidRPr="00951FB0">
        <w:rPr>
          <w:i/>
          <w:iCs/>
          <w:sz w:val="24"/>
          <w:szCs w:val="24"/>
        </w:rPr>
        <w:t xml:space="preserve">17452 (2022). Jan Logie to the Minister for Disability Issues. </w:t>
      </w:r>
      <w:r w:rsidRPr="00951FB0">
        <w:rPr>
          <w:sz w:val="24"/>
          <w:szCs w:val="24"/>
        </w:rPr>
        <w:t>Retrieved from: https://www.parliament.nz/en/pb/order-paper-questions/written-questions/document/WQ_17452_2022/17452-2022-jan-logie-to-the-minister-for-disability</w:t>
      </w:r>
    </w:p>
  </w:endnote>
  <w:endnote w:id="53">
    <w:p w14:paraId="4C30FC09" w14:textId="77777777" w:rsidR="00601A09" w:rsidRPr="00951FB0" w:rsidRDefault="00601A09"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(May 4, 2021). </w:t>
      </w:r>
      <w:r w:rsidRPr="00951FB0">
        <w:rPr>
          <w:i/>
          <w:iCs/>
          <w:sz w:val="24"/>
          <w:szCs w:val="24"/>
        </w:rPr>
        <w:t xml:space="preserve">16187 (2021). Jan Logie to the Minister for Social Development and Employment. </w:t>
      </w:r>
      <w:r w:rsidRPr="00951FB0">
        <w:rPr>
          <w:sz w:val="24"/>
          <w:szCs w:val="24"/>
        </w:rPr>
        <w:t>Retrieved from: https://www.parliament.nz/mi/pb/order-paper-questions/written-questions/document/WQ_16187_2021/16187-2021-jan-logie-to-the-minister-for-social-development</w:t>
      </w:r>
    </w:p>
  </w:endnote>
  <w:endnote w:id="54">
    <w:p w14:paraId="53E48BDC" w14:textId="2199D1B5" w:rsidR="00951FB0" w:rsidRPr="00951FB0" w:rsidRDefault="00951FB0"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(June 1, 2022). </w:t>
      </w:r>
      <w:r w:rsidRPr="00951FB0">
        <w:rPr>
          <w:i/>
          <w:iCs/>
          <w:sz w:val="24"/>
          <w:szCs w:val="24"/>
        </w:rPr>
        <w:t xml:space="preserve">17439 (2022). Jan Logie to the Minister for Disability Issues. </w:t>
      </w:r>
      <w:r w:rsidRPr="00951FB0">
        <w:rPr>
          <w:sz w:val="24"/>
          <w:szCs w:val="24"/>
        </w:rPr>
        <w:t>Retrieved from: https://www.parliament.nz/en/pb/order-paper-questions/written-questions/document/WQ_17439_2022/17439-2022-jan-logie-to-the-minister-for-disability</w:t>
      </w:r>
    </w:p>
  </w:endnote>
  <w:endnote w:id="55">
    <w:p w14:paraId="5A2C258B" w14:textId="77777777" w:rsidR="006A4AA0" w:rsidRPr="00951FB0" w:rsidRDefault="006A4AA0"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(May 4, 2021). </w:t>
      </w:r>
      <w:r w:rsidRPr="00951FB0">
        <w:rPr>
          <w:i/>
          <w:iCs/>
          <w:sz w:val="24"/>
          <w:szCs w:val="24"/>
        </w:rPr>
        <w:t xml:space="preserve">16187 (2021). Jan Logie to the Minister for Social Development and Employment. </w:t>
      </w:r>
      <w:r w:rsidRPr="00951FB0">
        <w:rPr>
          <w:sz w:val="24"/>
          <w:szCs w:val="24"/>
        </w:rPr>
        <w:t>Retrieved from: https://www.parliament.nz/mi/pb/order-paper-questions/written-questions/document/WQ_16187_2021/16187-2021-jan-logie-to-the-minister-for-social-development</w:t>
      </w:r>
    </w:p>
  </w:endnote>
  <w:endnote w:id="56">
    <w:p w14:paraId="4BDF9FF4" w14:textId="77777777" w:rsidR="006A4AA0" w:rsidRPr="00951FB0" w:rsidRDefault="006A4AA0" w:rsidP="00352F98">
      <w:pPr>
        <w:pStyle w:val="EndnoteText"/>
        <w:spacing w:after="240"/>
        <w:ind w:left="567" w:hanging="567"/>
        <w:rPr>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(June 1, 2022). </w:t>
      </w:r>
      <w:r w:rsidRPr="00951FB0">
        <w:rPr>
          <w:i/>
          <w:iCs/>
          <w:sz w:val="24"/>
          <w:szCs w:val="24"/>
        </w:rPr>
        <w:t xml:space="preserve">17440 (2022). Jan Logie to the Minister for Disability Issues. </w:t>
      </w:r>
      <w:r w:rsidRPr="00951FB0">
        <w:rPr>
          <w:sz w:val="24"/>
          <w:szCs w:val="24"/>
        </w:rPr>
        <w:t>Retrieved from: https://www.parliament.nz/en/pb/order-paper-questions/written-questions/document/WQ_17440_2022/17440-2022-jan-logie-to-the-minister-for-disability</w:t>
      </w:r>
    </w:p>
  </w:endnote>
  <w:endnote w:id="57">
    <w:p w14:paraId="67D0B65F" w14:textId="77777777" w:rsidR="00E1114F" w:rsidRPr="00515C6E" w:rsidRDefault="00E1114F" w:rsidP="00352F98">
      <w:pPr>
        <w:pStyle w:val="EndnoteText"/>
        <w:spacing w:after="240"/>
        <w:ind w:left="567" w:hanging="567"/>
        <w:rPr>
          <w:sz w:val="24"/>
          <w:szCs w:val="24"/>
          <w:lang w:val="en-US"/>
        </w:rPr>
      </w:pPr>
      <w:r w:rsidRPr="00951FB0">
        <w:rPr>
          <w:rStyle w:val="EndnoteReference"/>
          <w:sz w:val="24"/>
          <w:szCs w:val="24"/>
          <w:vertAlign w:val="baseline"/>
        </w:rPr>
        <w:endnoteRef/>
      </w:r>
      <w:r w:rsidRPr="00951FB0">
        <w:rPr>
          <w:sz w:val="24"/>
          <w:szCs w:val="24"/>
        </w:rPr>
        <w:t xml:space="preserve"> </w:t>
      </w:r>
      <w:r>
        <w:rPr>
          <w:sz w:val="24"/>
          <w:szCs w:val="24"/>
        </w:rPr>
        <w:tab/>
      </w:r>
      <w:r w:rsidRPr="00951FB0">
        <w:rPr>
          <w:sz w:val="24"/>
          <w:szCs w:val="24"/>
        </w:rPr>
        <w:t xml:space="preserve">New Zealand Parliament. (June 1, 2022). </w:t>
      </w:r>
      <w:r w:rsidRPr="00951FB0">
        <w:rPr>
          <w:i/>
          <w:iCs/>
          <w:sz w:val="24"/>
          <w:szCs w:val="24"/>
        </w:rPr>
        <w:t xml:space="preserve">17438 (2022). Jan Logie to the Minister for Disability Issues. </w:t>
      </w:r>
      <w:r w:rsidRPr="00951FB0">
        <w:rPr>
          <w:sz w:val="24"/>
          <w:szCs w:val="24"/>
        </w:rPr>
        <w:t>Retrieved from: https://</w:t>
      </w:r>
      <w:r w:rsidRPr="00515C6E">
        <w:rPr>
          <w:sz w:val="24"/>
          <w:szCs w:val="24"/>
        </w:rPr>
        <w:t>www.parliament.nz/en/pb/order-paper-questions/written-questions/document/WQ_17438_2022/17438-2022-jan-logie-to-the-minister-for-disability</w:t>
      </w:r>
    </w:p>
  </w:endnote>
  <w:endnote w:id="58">
    <w:p w14:paraId="1AFFA5B8" w14:textId="01810B53" w:rsidR="00B522B5" w:rsidRPr="00B522B5" w:rsidRDefault="00B522B5" w:rsidP="00352F98">
      <w:pPr>
        <w:pStyle w:val="EndnoteText"/>
        <w:ind w:left="567" w:hanging="567"/>
        <w:rPr>
          <w:lang w:val="en-US"/>
        </w:rPr>
      </w:pPr>
      <w:r w:rsidRPr="00515C6E">
        <w:rPr>
          <w:rStyle w:val="EndnoteReference"/>
          <w:sz w:val="24"/>
          <w:szCs w:val="24"/>
          <w:vertAlign w:val="baseline"/>
        </w:rPr>
        <w:endnoteRef/>
      </w:r>
      <w:r w:rsidRPr="00515C6E">
        <w:rPr>
          <w:sz w:val="24"/>
          <w:szCs w:val="24"/>
        </w:rPr>
        <w:t xml:space="preserve"> </w:t>
      </w:r>
      <w:r w:rsidR="00515C6E" w:rsidRPr="00515C6E">
        <w:rPr>
          <w:sz w:val="24"/>
          <w:szCs w:val="24"/>
        </w:rPr>
        <w:tab/>
        <w:t xml:space="preserve">New Zealand Parliament. (June 15, 2022). </w:t>
      </w:r>
      <w:r w:rsidR="00515C6E" w:rsidRPr="00515C6E">
        <w:rPr>
          <w:i/>
          <w:iCs/>
          <w:sz w:val="24"/>
          <w:szCs w:val="24"/>
        </w:rPr>
        <w:t xml:space="preserve">19557 (2022). Jan Logie to the Minister for Disability Issues. </w:t>
      </w:r>
      <w:r w:rsidR="00515C6E" w:rsidRPr="00515C6E">
        <w:rPr>
          <w:sz w:val="24"/>
          <w:szCs w:val="24"/>
        </w:rPr>
        <w:t xml:space="preserve">Retrieved from: </w:t>
      </w:r>
      <w:r w:rsidRPr="00515C6E">
        <w:rPr>
          <w:sz w:val="24"/>
          <w:szCs w:val="24"/>
        </w:rPr>
        <w:t>https://www.parliament.nz/en/pb/order-paper-questions/written-questions/document/WQ_19557_2022/19557-2022-jan-logie-to-the-minister-for-disability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46C1" w14:textId="0396DD8E" w:rsidR="00D32EED" w:rsidRPr="00A76333" w:rsidRDefault="00954BF1" w:rsidP="002E5467">
    <w:pPr>
      <w:spacing w:before="240" w:after="0"/>
      <w:jc w:val="right"/>
      <w:rPr>
        <w:b/>
        <w:bCs/>
        <w:color w:val="002060"/>
      </w:rPr>
    </w:pPr>
    <w:r w:rsidRPr="00954BF1">
      <w:rPr>
        <w:b/>
        <w:bCs/>
        <w:color w:val="002060"/>
      </w:rPr>
      <w:ptab w:relativeTo="margin" w:alignment="center" w:leader="none"/>
    </w:r>
    <w:r w:rsidRPr="00954BF1">
      <w:rPr>
        <w:b/>
        <w:bCs/>
        <w:color w:val="002060"/>
      </w:rPr>
      <w:ptab w:relativeTo="margin" w:alignment="right" w:leader="none"/>
    </w:r>
    <w:r w:rsidR="002E5467">
      <w:rPr>
        <w:b/>
        <w:bCs/>
        <w:color w:val="002060"/>
      </w:rPr>
      <w:t>Disabled Persons Assembly NZ</w:t>
    </w:r>
    <w:r w:rsidR="002E5467">
      <w:rPr>
        <w:b/>
        <w:bCs/>
        <w:color w:val="002060"/>
      </w:rPr>
      <w:br/>
    </w:r>
    <w:r w:rsidR="00BE7DA0">
      <w:rPr>
        <w:color w:val="002060"/>
      </w:rPr>
      <w:t xml:space="preserve">Published </w:t>
    </w:r>
    <w:r w:rsidR="00296210">
      <w:rPr>
        <w:color w:val="002060"/>
      </w:rPr>
      <w:t>2</w:t>
    </w:r>
    <w:r w:rsidR="0062043F">
      <w:rPr>
        <w:color w:val="002060"/>
      </w:rPr>
      <w:t xml:space="preserve">2 </w:t>
    </w:r>
    <w:r w:rsidR="007F2C40">
      <w:rPr>
        <w:color w:val="002060"/>
      </w:rPr>
      <w:t>April</w:t>
    </w:r>
    <w:r w:rsidR="00AC4087">
      <w:rPr>
        <w:color w:val="00206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8A98" w14:textId="77777777" w:rsidR="00FD73E5" w:rsidRDefault="00FD73E5" w:rsidP="005602D3">
      <w:pPr>
        <w:spacing w:after="0" w:line="240" w:lineRule="auto"/>
      </w:pPr>
      <w:r>
        <w:separator/>
      </w:r>
    </w:p>
  </w:footnote>
  <w:footnote w:type="continuationSeparator" w:id="0">
    <w:p w14:paraId="4E21914A" w14:textId="77777777" w:rsidR="00FD73E5" w:rsidRDefault="00FD73E5" w:rsidP="005602D3">
      <w:pPr>
        <w:spacing w:after="0" w:line="240" w:lineRule="auto"/>
      </w:pPr>
      <w:r>
        <w:continuationSeparator/>
      </w:r>
    </w:p>
  </w:footnote>
  <w:footnote w:type="continuationNotice" w:id="1">
    <w:p w14:paraId="4FC8B50B" w14:textId="77777777" w:rsidR="00FD73E5" w:rsidRPr="003D21B1" w:rsidRDefault="00FD73E5" w:rsidP="003D21B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E8E4" w14:textId="77777777" w:rsidR="00D32EED" w:rsidRPr="005602D3" w:rsidRDefault="00D32E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250968"/>
      <w:docPartObj>
        <w:docPartGallery w:val="Page Numbers (Top of Page)"/>
        <w:docPartUnique/>
      </w:docPartObj>
    </w:sdtPr>
    <w:sdtEndPr>
      <w:rPr>
        <w:noProof/>
      </w:rPr>
    </w:sdtEndPr>
    <w:sdtContent>
      <w:p w14:paraId="1B083741" w14:textId="77777777" w:rsidR="00083E8E" w:rsidRPr="005602D3" w:rsidRDefault="00083E8E">
        <w:pPr>
          <w:pStyle w:val="Header"/>
          <w:jc w:val="right"/>
        </w:pPr>
        <w:r w:rsidRPr="005602D3">
          <w:fldChar w:fldCharType="begin"/>
        </w:r>
        <w:r w:rsidRPr="005602D3">
          <w:instrText xml:space="preserve"> PAGE   \* MERGEFORMAT </w:instrText>
        </w:r>
        <w:r w:rsidRPr="005602D3">
          <w:fldChar w:fldCharType="separate"/>
        </w:r>
        <w:r>
          <w:rPr>
            <w:noProof/>
          </w:rPr>
          <w:t>10</w:t>
        </w:r>
        <w:r w:rsidRPr="005602D3">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7D1FE3"/>
    <w:multiLevelType w:val="hybridMultilevel"/>
    <w:tmpl w:val="E0C0D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361259"/>
    <w:multiLevelType w:val="hybridMultilevel"/>
    <w:tmpl w:val="4A0AB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FD49B5"/>
    <w:multiLevelType w:val="hybridMultilevel"/>
    <w:tmpl w:val="F3441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467FCB"/>
    <w:multiLevelType w:val="hybridMultilevel"/>
    <w:tmpl w:val="A0CC1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751FC0"/>
    <w:multiLevelType w:val="hybridMultilevel"/>
    <w:tmpl w:val="A41A12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3241BE"/>
    <w:multiLevelType w:val="hybridMultilevel"/>
    <w:tmpl w:val="C0DAF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236468"/>
    <w:multiLevelType w:val="hybridMultilevel"/>
    <w:tmpl w:val="6D20F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F254E2"/>
    <w:multiLevelType w:val="hybridMultilevel"/>
    <w:tmpl w:val="5DECA5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1965E7"/>
    <w:multiLevelType w:val="hybridMultilevel"/>
    <w:tmpl w:val="3EAA6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DB4EA9"/>
    <w:multiLevelType w:val="hybridMultilevel"/>
    <w:tmpl w:val="DC266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942E2A"/>
    <w:multiLevelType w:val="hybridMultilevel"/>
    <w:tmpl w:val="7F5A2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E62B27"/>
    <w:multiLevelType w:val="hybridMultilevel"/>
    <w:tmpl w:val="764A9A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E3551B"/>
    <w:multiLevelType w:val="hybridMultilevel"/>
    <w:tmpl w:val="5172D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6D2BB8"/>
    <w:multiLevelType w:val="hybridMultilevel"/>
    <w:tmpl w:val="DBB2E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C436EA"/>
    <w:multiLevelType w:val="multilevel"/>
    <w:tmpl w:val="522834AA"/>
    <w:lvl w:ilvl="0">
      <w:start w:val="1"/>
      <w:numFmt w:val="decimal"/>
      <w:lvlText w:val="%1"/>
      <w:lvlJc w:val="left"/>
      <w:pPr>
        <w:ind w:left="432" w:hanging="432"/>
      </w:pPr>
      <w:rPr>
        <w:rFonts w:hint="default"/>
        <w:color w:val="5EC3CB"/>
        <w:sz w:val="40"/>
      </w:rPr>
    </w:lvl>
    <w:lvl w:ilvl="1">
      <w:start w:val="1"/>
      <w:numFmt w:val="decimal"/>
      <w:lvlText w:val="%1.%2"/>
      <w:lvlJc w:val="left"/>
      <w:pPr>
        <w:ind w:left="576" w:hanging="576"/>
      </w:pPr>
      <w:rPr>
        <w:rFonts w:hint="default"/>
        <w:color w:val="5EC3C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5903448"/>
    <w:multiLevelType w:val="hybridMultilevel"/>
    <w:tmpl w:val="CD7A57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82F50E9"/>
    <w:multiLevelType w:val="hybridMultilevel"/>
    <w:tmpl w:val="A1CA3E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9183ADC"/>
    <w:multiLevelType w:val="multilevel"/>
    <w:tmpl w:val="F5E4D184"/>
    <w:styleLink w:val="Style1"/>
    <w:lvl w:ilvl="0">
      <w:start w:val="1"/>
      <w:numFmt w:val="decimal"/>
      <w:lvlText w:val="%1."/>
      <w:lvlJc w:val="left"/>
      <w:pPr>
        <w:ind w:left="360" w:hanging="360"/>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D955590"/>
    <w:multiLevelType w:val="hybridMultilevel"/>
    <w:tmpl w:val="772C7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B4B7A09"/>
    <w:multiLevelType w:val="hybridMultilevel"/>
    <w:tmpl w:val="0F02FE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296036"/>
    <w:multiLevelType w:val="hybridMultilevel"/>
    <w:tmpl w:val="E4CAC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427F1A"/>
    <w:multiLevelType w:val="hybridMultilevel"/>
    <w:tmpl w:val="D25C8A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4D9088A"/>
    <w:multiLevelType w:val="hybridMultilevel"/>
    <w:tmpl w:val="A290F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1C51F1"/>
    <w:multiLevelType w:val="hybridMultilevel"/>
    <w:tmpl w:val="C106A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983750A"/>
    <w:multiLevelType w:val="hybridMultilevel"/>
    <w:tmpl w:val="BB8C7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1"/>
  </w:num>
  <w:num w:numId="2" w16cid:durableId="356932750">
    <w:abstractNumId w:val="0"/>
  </w:num>
  <w:num w:numId="3" w16cid:durableId="220167830">
    <w:abstractNumId w:val="16"/>
  </w:num>
  <w:num w:numId="4" w16cid:durableId="1205828463">
    <w:abstractNumId w:val="19"/>
  </w:num>
  <w:num w:numId="5" w16cid:durableId="473183296">
    <w:abstractNumId w:val="12"/>
  </w:num>
  <w:num w:numId="6" w16cid:durableId="1048072681">
    <w:abstractNumId w:val="23"/>
  </w:num>
  <w:num w:numId="7" w16cid:durableId="1804618188">
    <w:abstractNumId w:val="20"/>
  </w:num>
  <w:num w:numId="8" w16cid:durableId="1004434216">
    <w:abstractNumId w:val="3"/>
  </w:num>
  <w:num w:numId="9" w16cid:durableId="1053113236">
    <w:abstractNumId w:val="22"/>
  </w:num>
  <w:num w:numId="10" w16cid:durableId="149250654">
    <w:abstractNumId w:val="24"/>
  </w:num>
  <w:num w:numId="11" w16cid:durableId="129521843">
    <w:abstractNumId w:val="7"/>
  </w:num>
  <w:num w:numId="12" w16cid:durableId="1449161372">
    <w:abstractNumId w:val="5"/>
  </w:num>
  <w:num w:numId="13" w16cid:durableId="2025087851">
    <w:abstractNumId w:val="18"/>
  </w:num>
  <w:num w:numId="14" w16cid:durableId="1749771297">
    <w:abstractNumId w:val="8"/>
  </w:num>
  <w:num w:numId="15" w16cid:durableId="2017884586">
    <w:abstractNumId w:val="14"/>
  </w:num>
  <w:num w:numId="16" w16cid:durableId="1921015466">
    <w:abstractNumId w:val="25"/>
  </w:num>
  <w:num w:numId="17" w16cid:durableId="23988610">
    <w:abstractNumId w:val="21"/>
  </w:num>
  <w:num w:numId="18" w16cid:durableId="722295858">
    <w:abstractNumId w:val="13"/>
  </w:num>
  <w:num w:numId="19" w16cid:durableId="840585924">
    <w:abstractNumId w:val="2"/>
  </w:num>
  <w:num w:numId="20" w16cid:durableId="1446536168">
    <w:abstractNumId w:val="4"/>
  </w:num>
  <w:num w:numId="21" w16cid:durableId="284778845">
    <w:abstractNumId w:val="26"/>
  </w:num>
  <w:num w:numId="22" w16cid:durableId="1073939596">
    <w:abstractNumId w:val="11"/>
  </w:num>
  <w:num w:numId="23" w16cid:durableId="641498150">
    <w:abstractNumId w:val="10"/>
  </w:num>
  <w:num w:numId="24" w16cid:durableId="855852954">
    <w:abstractNumId w:val="6"/>
  </w:num>
  <w:num w:numId="25" w16cid:durableId="113447884">
    <w:abstractNumId w:val="9"/>
  </w:num>
  <w:num w:numId="26" w16cid:durableId="1697347040">
    <w:abstractNumId w:val="17"/>
  </w:num>
  <w:num w:numId="27" w16cid:durableId="165826660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0756"/>
    <w:rsid w:val="00000F9A"/>
    <w:rsid w:val="000012B4"/>
    <w:rsid w:val="0000145E"/>
    <w:rsid w:val="00002591"/>
    <w:rsid w:val="00002C78"/>
    <w:rsid w:val="00003123"/>
    <w:rsid w:val="00004875"/>
    <w:rsid w:val="00004EC2"/>
    <w:rsid w:val="00005642"/>
    <w:rsid w:val="00005700"/>
    <w:rsid w:val="00005881"/>
    <w:rsid w:val="00005D55"/>
    <w:rsid w:val="00005E95"/>
    <w:rsid w:val="00005FA9"/>
    <w:rsid w:val="000060D9"/>
    <w:rsid w:val="00006287"/>
    <w:rsid w:val="0000648E"/>
    <w:rsid w:val="00007BC6"/>
    <w:rsid w:val="0001080C"/>
    <w:rsid w:val="00010D32"/>
    <w:rsid w:val="00012332"/>
    <w:rsid w:val="0001520C"/>
    <w:rsid w:val="000155F5"/>
    <w:rsid w:val="00015A8A"/>
    <w:rsid w:val="00016809"/>
    <w:rsid w:val="000168B0"/>
    <w:rsid w:val="0002174E"/>
    <w:rsid w:val="00021CF7"/>
    <w:rsid w:val="00022371"/>
    <w:rsid w:val="000229B1"/>
    <w:rsid w:val="00023520"/>
    <w:rsid w:val="000235BD"/>
    <w:rsid w:val="00023C6D"/>
    <w:rsid w:val="00024A6B"/>
    <w:rsid w:val="00025A62"/>
    <w:rsid w:val="00025A7A"/>
    <w:rsid w:val="0002670F"/>
    <w:rsid w:val="000269D0"/>
    <w:rsid w:val="00027BB4"/>
    <w:rsid w:val="00030886"/>
    <w:rsid w:val="00030F7B"/>
    <w:rsid w:val="00031508"/>
    <w:rsid w:val="00031644"/>
    <w:rsid w:val="00032A54"/>
    <w:rsid w:val="00032AC8"/>
    <w:rsid w:val="00032F3E"/>
    <w:rsid w:val="00035CDA"/>
    <w:rsid w:val="0003743B"/>
    <w:rsid w:val="000417DD"/>
    <w:rsid w:val="00042A18"/>
    <w:rsid w:val="00043307"/>
    <w:rsid w:val="00043C03"/>
    <w:rsid w:val="00043D2B"/>
    <w:rsid w:val="00044D8E"/>
    <w:rsid w:val="00044EFC"/>
    <w:rsid w:val="0004616F"/>
    <w:rsid w:val="000476D2"/>
    <w:rsid w:val="00051FD8"/>
    <w:rsid w:val="000521DA"/>
    <w:rsid w:val="000526B5"/>
    <w:rsid w:val="00054979"/>
    <w:rsid w:val="00055EA7"/>
    <w:rsid w:val="00056F74"/>
    <w:rsid w:val="00060960"/>
    <w:rsid w:val="0006150E"/>
    <w:rsid w:val="00061633"/>
    <w:rsid w:val="000619B4"/>
    <w:rsid w:val="000629C2"/>
    <w:rsid w:val="0006372D"/>
    <w:rsid w:val="000643BF"/>
    <w:rsid w:val="00064483"/>
    <w:rsid w:val="000655A8"/>
    <w:rsid w:val="0006681A"/>
    <w:rsid w:val="00071E93"/>
    <w:rsid w:val="000727E7"/>
    <w:rsid w:val="0007375A"/>
    <w:rsid w:val="00073BDD"/>
    <w:rsid w:val="00074476"/>
    <w:rsid w:val="000744CE"/>
    <w:rsid w:val="00075DA4"/>
    <w:rsid w:val="00075E30"/>
    <w:rsid w:val="00076949"/>
    <w:rsid w:val="00077E90"/>
    <w:rsid w:val="00080183"/>
    <w:rsid w:val="00080C82"/>
    <w:rsid w:val="00081D4F"/>
    <w:rsid w:val="00081FD2"/>
    <w:rsid w:val="00082179"/>
    <w:rsid w:val="00082AEB"/>
    <w:rsid w:val="00083A9C"/>
    <w:rsid w:val="00083E8E"/>
    <w:rsid w:val="0008444C"/>
    <w:rsid w:val="000846ED"/>
    <w:rsid w:val="00085659"/>
    <w:rsid w:val="0008685F"/>
    <w:rsid w:val="00087AFD"/>
    <w:rsid w:val="0009094A"/>
    <w:rsid w:val="00090C35"/>
    <w:rsid w:val="00090E59"/>
    <w:rsid w:val="0009115A"/>
    <w:rsid w:val="00091AAE"/>
    <w:rsid w:val="00091BD8"/>
    <w:rsid w:val="00092420"/>
    <w:rsid w:val="000924FF"/>
    <w:rsid w:val="0009270C"/>
    <w:rsid w:val="00094676"/>
    <w:rsid w:val="00095751"/>
    <w:rsid w:val="00095A91"/>
    <w:rsid w:val="00096811"/>
    <w:rsid w:val="00096DCF"/>
    <w:rsid w:val="00097710"/>
    <w:rsid w:val="000A07AA"/>
    <w:rsid w:val="000A0B78"/>
    <w:rsid w:val="000A1606"/>
    <w:rsid w:val="000A1B0E"/>
    <w:rsid w:val="000A1BA1"/>
    <w:rsid w:val="000A2684"/>
    <w:rsid w:val="000A29FE"/>
    <w:rsid w:val="000A2F53"/>
    <w:rsid w:val="000A3045"/>
    <w:rsid w:val="000A3BEC"/>
    <w:rsid w:val="000A45E1"/>
    <w:rsid w:val="000A53DF"/>
    <w:rsid w:val="000A5EEE"/>
    <w:rsid w:val="000A5F75"/>
    <w:rsid w:val="000A6245"/>
    <w:rsid w:val="000A67E3"/>
    <w:rsid w:val="000A7B52"/>
    <w:rsid w:val="000B18FB"/>
    <w:rsid w:val="000B2713"/>
    <w:rsid w:val="000B2D00"/>
    <w:rsid w:val="000B4B86"/>
    <w:rsid w:val="000B5A61"/>
    <w:rsid w:val="000B6303"/>
    <w:rsid w:val="000B63BE"/>
    <w:rsid w:val="000B672F"/>
    <w:rsid w:val="000B7379"/>
    <w:rsid w:val="000C0955"/>
    <w:rsid w:val="000C10AB"/>
    <w:rsid w:val="000C1B60"/>
    <w:rsid w:val="000C21E6"/>
    <w:rsid w:val="000C2DDD"/>
    <w:rsid w:val="000C3348"/>
    <w:rsid w:val="000C4BC2"/>
    <w:rsid w:val="000C5315"/>
    <w:rsid w:val="000C696D"/>
    <w:rsid w:val="000C6AB0"/>
    <w:rsid w:val="000C753C"/>
    <w:rsid w:val="000D0A2D"/>
    <w:rsid w:val="000D0FC1"/>
    <w:rsid w:val="000D1039"/>
    <w:rsid w:val="000D1270"/>
    <w:rsid w:val="000D1EF3"/>
    <w:rsid w:val="000D1F3E"/>
    <w:rsid w:val="000D2C73"/>
    <w:rsid w:val="000D2D8D"/>
    <w:rsid w:val="000D4365"/>
    <w:rsid w:val="000D4A37"/>
    <w:rsid w:val="000D4C75"/>
    <w:rsid w:val="000D51F9"/>
    <w:rsid w:val="000D532E"/>
    <w:rsid w:val="000D6500"/>
    <w:rsid w:val="000E02F2"/>
    <w:rsid w:val="000E0BD9"/>
    <w:rsid w:val="000E20EF"/>
    <w:rsid w:val="000E2C33"/>
    <w:rsid w:val="000E2E94"/>
    <w:rsid w:val="000E3948"/>
    <w:rsid w:val="000E3B65"/>
    <w:rsid w:val="000E5108"/>
    <w:rsid w:val="000E652A"/>
    <w:rsid w:val="000E6BBA"/>
    <w:rsid w:val="000E6FE4"/>
    <w:rsid w:val="000E75B9"/>
    <w:rsid w:val="000F0FD8"/>
    <w:rsid w:val="000F194B"/>
    <w:rsid w:val="000F2C00"/>
    <w:rsid w:val="000F2DEA"/>
    <w:rsid w:val="000F38BD"/>
    <w:rsid w:val="000F4082"/>
    <w:rsid w:val="000F40E4"/>
    <w:rsid w:val="000F4561"/>
    <w:rsid w:val="000F47FA"/>
    <w:rsid w:val="000F5D41"/>
    <w:rsid w:val="000F69B1"/>
    <w:rsid w:val="000F6D7A"/>
    <w:rsid w:val="000F77E1"/>
    <w:rsid w:val="000F77F3"/>
    <w:rsid w:val="000F79D4"/>
    <w:rsid w:val="0010078C"/>
    <w:rsid w:val="0010197E"/>
    <w:rsid w:val="00101E18"/>
    <w:rsid w:val="00102CE4"/>
    <w:rsid w:val="00102ECC"/>
    <w:rsid w:val="00102FC4"/>
    <w:rsid w:val="00103070"/>
    <w:rsid w:val="00103557"/>
    <w:rsid w:val="00103BBE"/>
    <w:rsid w:val="00104396"/>
    <w:rsid w:val="001043C8"/>
    <w:rsid w:val="00105341"/>
    <w:rsid w:val="001054C2"/>
    <w:rsid w:val="00105588"/>
    <w:rsid w:val="0010593E"/>
    <w:rsid w:val="00105B29"/>
    <w:rsid w:val="001060BD"/>
    <w:rsid w:val="00106E51"/>
    <w:rsid w:val="00106F9A"/>
    <w:rsid w:val="001077B7"/>
    <w:rsid w:val="00107B27"/>
    <w:rsid w:val="0011063C"/>
    <w:rsid w:val="00110BA6"/>
    <w:rsid w:val="001118EA"/>
    <w:rsid w:val="001120B5"/>
    <w:rsid w:val="00112666"/>
    <w:rsid w:val="00113386"/>
    <w:rsid w:val="00113DC6"/>
    <w:rsid w:val="0011401D"/>
    <w:rsid w:val="00115279"/>
    <w:rsid w:val="0011537D"/>
    <w:rsid w:val="00116DC6"/>
    <w:rsid w:val="001175F5"/>
    <w:rsid w:val="001176A2"/>
    <w:rsid w:val="00120531"/>
    <w:rsid w:val="00120E8A"/>
    <w:rsid w:val="0012239C"/>
    <w:rsid w:val="00122472"/>
    <w:rsid w:val="00122833"/>
    <w:rsid w:val="00122F46"/>
    <w:rsid w:val="00123148"/>
    <w:rsid w:val="0012320F"/>
    <w:rsid w:val="00123F61"/>
    <w:rsid w:val="00123FD4"/>
    <w:rsid w:val="0012527E"/>
    <w:rsid w:val="001261E9"/>
    <w:rsid w:val="0012761F"/>
    <w:rsid w:val="00127B8C"/>
    <w:rsid w:val="00127B8D"/>
    <w:rsid w:val="00131103"/>
    <w:rsid w:val="00131741"/>
    <w:rsid w:val="001317E3"/>
    <w:rsid w:val="00131E72"/>
    <w:rsid w:val="00133408"/>
    <w:rsid w:val="0013383C"/>
    <w:rsid w:val="001355CF"/>
    <w:rsid w:val="00136950"/>
    <w:rsid w:val="00136D6A"/>
    <w:rsid w:val="00136D6C"/>
    <w:rsid w:val="0013722E"/>
    <w:rsid w:val="00137F75"/>
    <w:rsid w:val="00140D5D"/>
    <w:rsid w:val="00141501"/>
    <w:rsid w:val="0014241B"/>
    <w:rsid w:val="00142658"/>
    <w:rsid w:val="00143CE8"/>
    <w:rsid w:val="00144796"/>
    <w:rsid w:val="00145C21"/>
    <w:rsid w:val="001471F3"/>
    <w:rsid w:val="0014730C"/>
    <w:rsid w:val="0014745D"/>
    <w:rsid w:val="00147B4B"/>
    <w:rsid w:val="00151720"/>
    <w:rsid w:val="00153CEB"/>
    <w:rsid w:val="00155793"/>
    <w:rsid w:val="0015633A"/>
    <w:rsid w:val="001565A1"/>
    <w:rsid w:val="00156613"/>
    <w:rsid w:val="00156943"/>
    <w:rsid w:val="00160D8A"/>
    <w:rsid w:val="00161463"/>
    <w:rsid w:val="00162C14"/>
    <w:rsid w:val="00162E7C"/>
    <w:rsid w:val="00163EEB"/>
    <w:rsid w:val="001640F5"/>
    <w:rsid w:val="00164EA6"/>
    <w:rsid w:val="00165559"/>
    <w:rsid w:val="00165617"/>
    <w:rsid w:val="0016625D"/>
    <w:rsid w:val="00167432"/>
    <w:rsid w:val="00167C5B"/>
    <w:rsid w:val="00171448"/>
    <w:rsid w:val="00171C76"/>
    <w:rsid w:val="00171FBE"/>
    <w:rsid w:val="00172243"/>
    <w:rsid w:val="00172350"/>
    <w:rsid w:val="0017272D"/>
    <w:rsid w:val="0017288C"/>
    <w:rsid w:val="001731B4"/>
    <w:rsid w:val="00174860"/>
    <w:rsid w:val="00174DA0"/>
    <w:rsid w:val="00175191"/>
    <w:rsid w:val="00175931"/>
    <w:rsid w:val="001811ED"/>
    <w:rsid w:val="001828A5"/>
    <w:rsid w:val="00182905"/>
    <w:rsid w:val="001829A4"/>
    <w:rsid w:val="00182FC2"/>
    <w:rsid w:val="001834E7"/>
    <w:rsid w:val="001836CB"/>
    <w:rsid w:val="00184365"/>
    <w:rsid w:val="00185CB3"/>
    <w:rsid w:val="00186355"/>
    <w:rsid w:val="001868DF"/>
    <w:rsid w:val="001901D5"/>
    <w:rsid w:val="00190D3B"/>
    <w:rsid w:val="00190E8E"/>
    <w:rsid w:val="001925B4"/>
    <w:rsid w:val="00193AEC"/>
    <w:rsid w:val="00193DC3"/>
    <w:rsid w:val="001953ED"/>
    <w:rsid w:val="00196E5D"/>
    <w:rsid w:val="00197058"/>
    <w:rsid w:val="00197EBC"/>
    <w:rsid w:val="001A007C"/>
    <w:rsid w:val="001A19D8"/>
    <w:rsid w:val="001A1F14"/>
    <w:rsid w:val="001A2693"/>
    <w:rsid w:val="001A2E7F"/>
    <w:rsid w:val="001A5690"/>
    <w:rsid w:val="001A5E4D"/>
    <w:rsid w:val="001A6141"/>
    <w:rsid w:val="001A73E2"/>
    <w:rsid w:val="001A7AB0"/>
    <w:rsid w:val="001B02E3"/>
    <w:rsid w:val="001B0537"/>
    <w:rsid w:val="001B1491"/>
    <w:rsid w:val="001B184E"/>
    <w:rsid w:val="001B2093"/>
    <w:rsid w:val="001B2F48"/>
    <w:rsid w:val="001B492D"/>
    <w:rsid w:val="001B4DFE"/>
    <w:rsid w:val="001B6E50"/>
    <w:rsid w:val="001B7AE4"/>
    <w:rsid w:val="001B7E13"/>
    <w:rsid w:val="001C0BD4"/>
    <w:rsid w:val="001C127F"/>
    <w:rsid w:val="001C1E7D"/>
    <w:rsid w:val="001C22A3"/>
    <w:rsid w:val="001C32DB"/>
    <w:rsid w:val="001C3BA4"/>
    <w:rsid w:val="001C4556"/>
    <w:rsid w:val="001C4776"/>
    <w:rsid w:val="001C5265"/>
    <w:rsid w:val="001C57E8"/>
    <w:rsid w:val="001C6679"/>
    <w:rsid w:val="001C77CD"/>
    <w:rsid w:val="001D0A95"/>
    <w:rsid w:val="001D0E61"/>
    <w:rsid w:val="001D2075"/>
    <w:rsid w:val="001D214E"/>
    <w:rsid w:val="001D245E"/>
    <w:rsid w:val="001D249F"/>
    <w:rsid w:val="001D3044"/>
    <w:rsid w:val="001D3627"/>
    <w:rsid w:val="001D4289"/>
    <w:rsid w:val="001D4714"/>
    <w:rsid w:val="001D5C1C"/>
    <w:rsid w:val="001D625B"/>
    <w:rsid w:val="001E12CA"/>
    <w:rsid w:val="001E15B3"/>
    <w:rsid w:val="001E1810"/>
    <w:rsid w:val="001E1CF9"/>
    <w:rsid w:val="001E1F4B"/>
    <w:rsid w:val="001E1F60"/>
    <w:rsid w:val="001E23A4"/>
    <w:rsid w:val="001E2591"/>
    <w:rsid w:val="001E2BA7"/>
    <w:rsid w:val="001E49F8"/>
    <w:rsid w:val="001E5695"/>
    <w:rsid w:val="001E615B"/>
    <w:rsid w:val="001E71C8"/>
    <w:rsid w:val="001F1C5C"/>
    <w:rsid w:val="001F3A12"/>
    <w:rsid w:val="001F66FE"/>
    <w:rsid w:val="001F7E45"/>
    <w:rsid w:val="001F7E9B"/>
    <w:rsid w:val="0020168C"/>
    <w:rsid w:val="00201BFD"/>
    <w:rsid w:val="00201ED7"/>
    <w:rsid w:val="00201FD1"/>
    <w:rsid w:val="00202BD5"/>
    <w:rsid w:val="00202CFD"/>
    <w:rsid w:val="00202DBF"/>
    <w:rsid w:val="0020381C"/>
    <w:rsid w:val="00203F00"/>
    <w:rsid w:val="00204055"/>
    <w:rsid w:val="002041EC"/>
    <w:rsid w:val="002044E7"/>
    <w:rsid w:val="0020472E"/>
    <w:rsid w:val="00204A52"/>
    <w:rsid w:val="00204A5D"/>
    <w:rsid w:val="00204B03"/>
    <w:rsid w:val="0020598E"/>
    <w:rsid w:val="00206C87"/>
    <w:rsid w:val="00207EFB"/>
    <w:rsid w:val="0021038D"/>
    <w:rsid w:val="00211778"/>
    <w:rsid w:val="002121A8"/>
    <w:rsid w:val="002126B3"/>
    <w:rsid w:val="0021290D"/>
    <w:rsid w:val="00212B4E"/>
    <w:rsid w:val="00213216"/>
    <w:rsid w:val="0021454B"/>
    <w:rsid w:val="002148BE"/>
    <w:rsid w:val="00214EB7"/>
    <w:rsid w:val="00215374"/>
    <w:rsid w:val="00215C6D"/>
    <w:rsid w:val="0021662F"/>
    <w:rsid w:val="00216CA1"/>
    <w:rsid w:val="00217F69"/>
    <w:rsid w:val="00222006"/>
    <w:rsid w:val="00223BA2"/>
    <w:rsid w:val="00223D84"/>
    <w:rsid w:val="00224B22"/>
    <w:rsid w:val="00225851"/>
    <w:rsid w:val="002258CE"/>
    <w:rsid w:val="00226D4B"/>
    <w:rsid w:val="002278A2"/>
    <w:rsid w:val="00227D1A"/>
    <w:rsid w:val="0023082A"/>
    <w:rsid w:val="00230CDD"/>
    <w:rsid w:val="00230F01"/>
    <w:rsid w:val="002324CE"/>
    <w:rsid w:val="0023304D"/>
    <w:rsid w:val="00233677"/>
    <w:rsid w:val="0023437E"/>
    <w:rsid w:val="00234B78"/>
    <w:rsid w:val="00235119"/>
    <w:rsid w:val="00236AF8"/>
    <w:rsid w:val="00240606"/>
    <w:rsid w:val="00240CD4"/>
    <w:rsid w:val="0024139B"/>
    <w:rsid w:val="0024186D"/>
    <w:rsid w:val="00243103"/>
    <w:rsid w:val="002438DD"/>
    <w:rsid w:val="00243CE0"/>
    <w:rsid w:val="00244A1D"/>
    <w:rsid w:val="00244AC8"/>
    <w:rsid w:val="0024565D"/>
    <w:rsid w:val="002462F4"/>
    <w:rsid w:val="0025149E"/>
    <w:rsid w:val="002515F8"/>
    <w:rsid w:val="0025198B"/>
    <w:rsid w:val="00251A97"/>
    <w:rsid w:val="00253042"/>
    <w:rsid w:val="00253546"/>
    <w:rsid w:val="00253C12"/>
    <w:rsid w:val="0025493A"/>
    <w:rsid w:val="0025506D"/>
    <w:rsid w:val="0025625B"/>
    <w:rsid w:val="00260488"/>
    <w:rsid w:val="00260DA7"/>
    <w:rsid w:val="002619C4"/>
    <w:rsid w:val="00262E18"/>
    <w:rsid w:val="00263321"/>
    <w:rsid w:val="002633EB"/>
    <w:rsid w:val="00265B96"/>
    <w:rsid w:val="00265BCC"/>
    <w:rsid w:val="0026646D"/>
    <w:rsid w:val="0026683C"/>
    <w:rsid w:val="00266F3F"/>
    <w:rsid w:val="00270F29"/>
    <w:rsid w:val="0027146F"/>
    <w:rsid w:val="002717F8"/>
    <w:rsid w:val="00271838"/>
    <w:rsid w:val="00271C46"/>
    <w:rsid w:val="00272499"/>
    <w:rsid w:val="0027329C"/>
    <w:rsid w:val="00274DEA"/>
    <w:rsid w:val="002755E4"/>
    <w:rsid w:val="00275FD1"/>
    <w:rsid w:val="002767DC"/>
    <w:rsid w:val="002769EC"/>
    <w:rsid w:val="002771D8"/>
    <w:rsid w:val="002772F2"/>
    <w:rsid w:val="00277724"/>
    <w:rsid w:val="00277740"/>
    <w:rsid w:val="00277BE0"/>
    <w:rsid w:val="0028037C"/>
    <w:rsid w:val="0028061B"/>
    <w:rsid w:val="00281837"/>
    <w:rsid w:val="0028297E"/>
    <w:rsid w:val="00283172"/>
    <w:rsid w:val="00283751"/>
    <w:rsid w:val="00285467"/>
    <w:rsid w:val="002855DA"/>
    <w:rsid w:val="00285783"/>
    <w:rsid w:val="002858B1"/>
    <w:rsid w:val="00285E62"/>
    <w:rsid w:val="002866BF"/>
    <w:rsid w:val="00286D00"/>
    <w:rsid w:val="002870FC"/>
    <w:rsid w:val="00287305"/>
    <w:rsid w:val="00287D07"/>
    <w:rsid w:val="00291731"/>
    <w:rsid w:val="00291A2D"/>
    <w:rsid w:val="00291F3E"/>
    <w:rsid w:val="002929D7"/>
    <w:rsid w:val="00292F35"/>
    <w:rsid w:val="00293979"/>
    <w:rsid w:val="00294221"/>
    <w:rsid w:val="0029450E"/>
    <w:rsid w:val="0029486B"/>
    <w:rsid w:val="00295B11"/>
    <w:rsid w:val="00295C21"/>
    <w:rsid w:val="00296210"/>
    <w:rsid w:val="00296317"/>
    <w:rsid w:val="00296808"/>
    <w:rsid w:val="00297986"/>
    <w:rsid w:val="002A0400"/>
    <w:rsid w:val="002A1273"/>
    <w:rsid w:val="002A1679"/>
    <w:rsid w:val="002A25CE"/>
    <w:rsid w:val="002A47F8"/>
    <w:rsid w:val="002A5A57"/>
    <w:rsid w:val="002A64BE"/>
    <w:rsid w:val="002B1FCB"/>
    <w:rsid w:val="002B2378"/>
    <w:rsid w:val="002B337A"/>
    <w:rsid w:val="002B4ED0"/>
    <w:rsid w:val="002B51D8"/>
    <w:rsid w:val="002B5447"/>
    <w:rsid w:val="002B6D99"/>
    <w:rsid w:val="002C0A6C"/>
    <w:rsid w:val="002C0B9B"/>
    <w:rsid w:val="002C0DB2"/>
    <w:rsid w:val="002C115F"/>
    <w:rsid w:val="002C4113"/>
    <w:rsid w:val="002C4E57"/>
    <w:rsid w:val="002C4EB7"/>
    <w:rsid w:val="002C5E0F"/>
    <w:rsid w:val="002C6465"/>
    <w:rsid w:val="002C6655"/>
    <w:rsid w:val="002C719C"/>
    <w:rsid w:val="002C7274"/>
    <w:rsid w:val="002C7DA3"/>
    <w:rsid w:val="002C7E8F"/>
    <w:rsid w:val="002D16AA"/>
    <w:rsid w:val="002D3358"/>
    <w:rsid w:val="002D3B44"/>
    <w:rsid w:val="002D3D9C"/>
    <w:rsid w:val="002D43B0"/>
    <w:rsid w:val="002D443E"/>
    <w:rsid w:val="002D4799"/>
    <w:rsid w:val="002D480E"/>
    <w:rsid w:val="002D5854"/>
    <w:rsid w:val="002D77F4"/>
    <w:rsid w:val="002E10F4"/>
    <w:rsid w:val="002E1803"/>
    <w:rsid w:val="002E2C6C"/>
    <w:rsid w:val="002E366F"/>
    <w:rsid w:val="002E4124"/>
    <w:rsid w:val="002E5104"/>
    <w:rsid w:val="002E5467"/>
    <w:rsid w:val="002E5BA9"/>
    <w:rsid w:val="002F0527"/>
    <w:rsid w:val="002F10C9"/>
    <w:rsid w:val="002F16CD"/>
    <w:rsid w:val="002F18DE"/>
    <w:rsid w:val="002F309D"/>
    <w:rsid w:val="002F3E65"/>
    <w:rsid w:val="002F3E87"/>
    <w:rsid w:val="002F3E8E"/>
    <w:rsid w:val="002F3FC5"/>
    <w:rsid w:val="002F46E4"/>
    <w:rsid w:val="002F6288"/>
    <w:rsid w:val="002F6D26"/>
    <w:rsid w:val="003007B7"/>
    <w:rsid w:val="003017FC"/>
    <w:rsid w:val="003019A5"/>
    <w:rsid w:val="00302E1A"/>
    <w:rsid w:val="0030389D"/>
    <w:rsid w:val="0030418F"/>
    <w:rsid w:val="00304CE6"/>
    <w:rsid w:val="0031049A"/>
    <w:rsid w:val="003109AE"/>
    <w:rsid w:val="0031213B"/>
    <w:rsid w:val="003123C2"/>
    <w:rsid w:val="00313118"/>
    <w:rsid w:val="003131EF"/>
    <w:rsid w:val="003137BC"/>
    <w:rsid w:val="00314052"/>
    <w:rsid w:val="003142CD"/>
    <w:rsid w:val="00314634"/>
    <w:rsid w:val="00314F5B"/>
    <w:rsid w:val="00315725"/>
    <w:rsid w:val="00315B64"/>
    <w:rsid w:val="00315EEE"/>
    <w:rsid w:val="00317EE7"/>
    <w:rsid w:val="0032015D"/>
    <w:rsid w:val="0032076A"/>
    <w:rsid w:val="00320F41"/>
    <w:rsid w:val="00321102"/>
    <w:rsid w:val="00321A61"/>
    <w:rsid w:val="00321A93"/>
    <w:rsid w:val="0032227B"/>
    <w:rsid w:val="003243D6"/>
    <w:rsid w:val="003253F5"/>
    <w:rsid w:val="0033370C"/>
    <w:rsid w:val="00333C90"/>
    <w:rsid w:val="0033421B"/>
    <w:rsid w:val="0033441B"/>
    <w:rsid w:val="00334A1F"/>
    <w:rsid w:val="00335E31"/>
    <w:rsid w:val="00336437"/>
    <w:rsid w:val="00340447"/>
    <w:rsid w:val="00341105"/>
    <w:rsid w:val="0034167C"/>
    <w:rsid w:val="00341F85"/>
    <w:rsid w:val="00343DB1"/>
    <w:rsid w:val="00345329"/>
    <w:rsid w:val="00345647"/>
    <w:rsid w:val="003467AC"/>
    <w:rsid w:val="00346C40"/>
    <w:rsid w:val="00347906"/>
    <w:rsid w:val="00350750"/>
    <w:rsid w:val="0035075B"/>
    <w:rsid w:val="00350B21"/>
    <w:rsid w:val="00350CD0"/>
    <w:rsid w:val="00350F9A"/>
    <w:rsid w:val="00351319"/>
    <w:rsid w:val="003515A8"/>
    <w:rsid w:val="00352F98"/>
    <w:rsid w:val="00352FC4"/>
    <w:rsid w:val="0035404D"/>
    <w:rsid w:val="00355B90"/>
    <w:rsid w:val="00355C36"/>
    <w:rsid w:val="00356C7F"/>
    <w:rsid w:val="00357428"/>
    <w:rsid w:val="00357462"/>
    <w:rsid w:val="003603DC"/>
    <w:rsid w:val="00361452"/>
    <w:rsid w:val="00362D82"/>
    <w:rsid w:val="003633CA"/>
    <w:rsid w:val="003635E9"/>
    <w:rsid w:val="00363BB4"/>
    <w:rsid w:val="00363C01"/>
    <w:rsid w:val="003658FD"/>
    <w:rsid w:val="00367859"/>
    <w:rsid w:val="00371078"/>
    <w:rsid w:val="00371BC2"/>
    <w:rsid w:val="003725F6"/>
    <w:rsid w:val="00372EAB"/>
    <w:rsid w:val="003731A6"/>
    <w:rsid w:val="003739A8"/>
    <w:rsid w:val="0037416B"/>
    <w:rsid w:val="00376776"/>
    <w:rsid w:val="00377063"/>
    <w:rsid w:val="00380884"/>
    <w:rsid w:val="00380D45"/>
    <w:rsid w:val="00381A7D"/>
    <w:rsid w:val="00382DF3"/>
    <w:rsid w:val="00383278"/>
    <w:rsid w:val="00383D59"/>
    <w:rsid w:val="00383D85"/>
    <w:rsid w:val="0038422C"/>
    <w:rsid w:val="003842B4"/>
    <w:rsid w:val="00390288"/>
    <w:rsid w:val="0039067B"/>
    <w:rsid w:val="0039225D"/>
    <w:rsid w:val="00392E6E"/>
    <w:rsid w:val="00392ECB"/>
    <w:rsid w:val="0039352A"/>
    <w:rsid w:val="0039358D"/>
    <w:rsid w:val="0039487F"/>
    <w:rsid w:val="00395218"/>
    <w:rsid w:val="00395B5A"/>
    <w:rsid w:val="00397CBA"/>
    <w:rsid w:val="00397DF1"/>
    <w:rsid w:val="003A0485"/>
    <w:rsid w:val="003A1778"/>
    <w:rsid w:val="003A1A3B"/>
    <w:rsid w:val="003A22E5"/>
    <w:rsid w:val="003A2437"/>
    <w:rsid w:val="003A2521"/>
    <w:rsid w:val="003A3F35"/>
    <w:rsid w:val="003A4B83"/>
    <w:rsid w:val="003A54AA"/>
    <w:rsid w:val="003A69CF"/>
    <w:rsid w:val="003A6BB5"/>
    <w:rsid w:val="003A7FF0"/>
    <w:rsid w:val="003B09CD"/>
    <w:rsid w:val="003B10A1"/>
    <w:rsid w:val="003B13F4"/>
    <w:rsid w:val="003B152C"/>
    <w:rsid w:val="003B1ADF"/>
    <w:rsid w:val="003B1CF5"/>
    <w:rsid w:val="003B290D"/>
    <w:rsid w:val="003B31DA"/>
    <w:rsid w:val="003B54EE"/>
    <w:rsid w:val="003B5A85"/>
    <w:rsid w:val="003B5F70"/>
    <w:rsid w:val="003B6993"/>
    <w:rsid w:val="003B6DDA"/>
    <w:rsid w:val="003B75C7"/>
    <w:rsid w:val="003C0C3F"/>
    <w:rsid w:val="003C1E40"/>
    <w:rsid w:val="003C2119"/>
    <w:rsid w:val="003C2A14"/>
    <w:rsid w:val="003C589A"/>
    <w:rsid w:val="003C5B4A"/>
    <w:rsid w:val="003C62DC"/>
    <w:rsid w:val="003C64CD"/>
    <w:rsid w:val="003C668C"/>
    <w:rsid w:val="003C77E2"/>
    <w:rsid w:val="003D21B1"/>
    <w:rsid w:val="003D3A6E"/>
    <w:rsid w:val="003D4C9E"/>
    <w:rsid w:val="003D50A1"/>
    <w:rsid w:val="003D524A"/>
    <w:rsid w:val="003D5299"/>
    <w:rsid w:val="003D58D4"/>
    <w:rsid w:val="003D5C27"/>
    <w:rsid w:val="003D636F"/>
    <w:rsid w:val="003D69FA"/>
    <w:rsid w:val="003D794C"/>
    <w:rsid w:val="003E0DE8"/>
    <w:rsid w:val="003E1AC4"/>
    <w:rsid w:val="003E1FD2"/>
    <w:rsid w:val="003E2D95"/>
    <w:rsid w:val="003E2FAD"/>
    <w:rsid w:val="003E3100"/>
    <w:rsid w:val="003E350C"/>
    <w:rsid w:val="003E36D3"/>
    <w:rsid w:val="003E372F"/>
    <w:rsid w:val="003E5085"/>
    <w:rsid w:val="003E5E80"/>
    <w:rsid w:val="003E5ED3"/>
    <w:rsid w:val="003E719A"/>
    <w:rsid w:val="003E740C"/>
    <w:rsid w:val="003E74E0"/>
    <w:rsid w:val="003F0496"/>
    <w:rsid w:val="003F0717"/>
    <w:rsid w:val="003F0A9F"/>
    <w:rsid w:val="003F17C1"/>
    <w:rsid w:val="003F1B40"/>
    <w:rsid w:val="003F2E7E"/>
    <w:rsid w:val="003F36AB"/>
    <w:rsid w:val="003F455E"/>
    <w:rsid w:val="003F4D3C"/>
    <w:rsid w:val="003F5FFC"/>
    <w:rsid w:val="003F6786"/>
    <w:rsid w:val="004017DA"/>
    <w:rsid w:val="00401F61"/>
    <w:rsid w:val="00402281"/>
    <w:rsid w:val="00402F26"/>
    <w:rsid w:val="0040316C"/>
    <w:rsid w:val="00403370"/>
    <w:rsid w:val="00403D99"/>
    <w:rsid w:val="0040556F"/>
    <w:rsid w:val="00405C1D"/>
    <w:rsid w:val="0040679C"/>
    <w:rsid w:val="00407686"/>
    <w:rsid w:val="00413279"/>
    <w:rsid w:val="00413704"/>
    <w:rsid w:val="00413E10"/>
    <w:rsid w:val="004147EF"/>
    <w:rsid w:val="004150BB"/>
    <w:rsid w:val="00415621"/>
    <w:rsid w:val="00415DA3"/>
    <w:rsid w:val="00416ADA"/>
    <w:rsid w:val="00416AF1"/>
    <w:rsid w:val="0041770A"/>
    <w:rsid w:val="004179C2"/>
    <w:rsid w:val="00417A6D"/>
    <w:rsid w:val="0042051F"/>
    <w:rsid w:val="004205BD"/>
    <w:rsid w:val="00420BFB"/>
    <w:rsid w:val="00422025"/>
    <w:rsid w:val="004220F7"/>
    <w:rsid w:val="00423F7B"/>
    <w:rsid w:val="00424871"/>
    <w:rsid w:val="004261F1"/>
    <w:rsid w:val="0042693C"/>
    <w:rsid w:val="00426A50"/>
    <w:rsid w:val="004273FD"/>
    <w:rsid w:val="00431A03"/>
    <w:rsid w:val="00432F45"/>
    <w:rsid w:val="0043469A"/>
    <w:rsid w:val="00436047"/>
    <w:rsid w:val="004360A0"/>
    <w:rsid w:val="004379F0"/>
    <w:rsid w:val="00440A24"/>
    <w:rsid w:val="00440ED4"/>
    <w:rsid w:val="004436C9"/>
    <w:rsid w:val="004437FA"/>
    <w:rsid w:val="0044596C"/>
    <w:rsid w:val="00447D0A"/>
    <w:rsid w:val="00450AA5"/>
    <w:rsid w:val="00452559"/>
    <w:rsid w:val="00452FA1"/>
    <w:rsid w:val="004536F1"/>
    <w:rsid w:val="0045411C"/>
    <w:rsid w:val="0045412E"/>
    <w:rsid w:val="004543B8"/>
    <w:rsid w:val="00454C7E"/>
    <w:rsid w:val="00456089"/>
    <w:rsid w:val="0045656C"/>
    <w:rsid w:val="0045763A"/>
    <w:rsid w:val="00460E34"/>
    <w:rsid w:val="00461664"/>
    <w:rsid w:val="00462185"/>
    <w:rsid w:val="00462524"/>
    <w:rsid w:val="0046296E"/>
    <w:rsid w:val="00462C33"/>
    <w:rsid w:val="004644FA"/>
    <w:rsid w:val="004651AA"/>
    <w:rsid w:val="00465232"/>
    <w:rsid w:val="004662BF"/>
    <w:rsid w:val="00466A98"/>
    <w:rsid w:val="00466D3B"/>
    <w:rsid w:val="004677E9"/>
    <w:rsid w:val="00467FEF"/>
    <w:rsid w:val="004704EF"/>
    <w:rsid w:val="00470A10"/>
    <w:rsid w:val="004719A4"/>
    <w:rsid w:val="00471D48"/>
    <w:rsid w:val="004730BA"/>
    <w:rsid w:val="004738CC"/>
    <w:rsid w:val="004739FA"/>
    <w:rsid w:val="00473C39"/>
    <w:rsid w:val="00474CF0"/>
    <w:rsid w:val="00474D3D"/>
    <w:rsid w:val="00474E1F"/>
    <w:rsid w:val="004757BD"/>
    <w:rsid w:val="00475D15"/>
    <w:rsid w:val="00475F3E"/>
    <w:rsid w:val="00477F8C"/>
    <w:rsid w:val="00480795"/>
    <w:rsid w:val="00480F69"/>
    <w:rsid w:val="00481C66"/>
    <w:rsid w:val="00486665"/>
    <w:rsid w:val="0048732F"/>
    <w:rsid w:val="00490B94"/>
    <w:rsid w:val="00493AE0"/>
    <w:rsid w:val="00493CD0"/>
    <w:rsid w:val="004941FC"/>
    <w:rsid w:val="00494B90"/>
    <w:rsid w:val="00494B94"/>
    <w:rsid w:val="004A0B69"/>
    <w:rsid w:val="004A0DF2"/>
    <w:rsid w:val="004A138A"/>
    <w:rsid w:val="004A2D28"/>
    <w:rsid w:val="004A2EB2"/>
    <w:rsid w:val="004A3887"/>
    <w:rsid w:val="004A42AE"/>
    <w:rsid w:val="004A4465"/>
    <w:rsid w:val="004A491A"/>
    <w:rsid w:val="004A4BFB"/>
    <w:rsid w:val="004A525B"/>
    <w:rsid w:val="004A52C7"/>
    <w:rsid w:val="004A5E53"/>
    <w:rsid w:val="004A60FB"/>
    <w:rsid w:val="004B00AA"/>
    <w:rsid w:val="004B1B43"/>
    <w:rsid w:val="004B2323"/>
    <w:rsid w:val="004B2805"/>
    <w:rsid w:val="004B2FD3"/>
    <w:rsid w:val="004B301B"/>
    <w:rsid w:val="004B3D24"/>
    <w:rsid w:val="004B4E31"/>
    <w:rsid w:val="004B50B6"/>
    <w:rsid w:val="004B54C1"/>
    <w:rsid w:val="004B56C4"/>
    <w:rsid w:val="004B5E67"/>
    <w:rsid w:val="004B7B9F"/>
    <w:rsid w:val="004C0539"/>
    <w:rsid w:val="004C0D6A"/>
    <w:rsid w:val="004C125F"/>
    <w:rsid w:val="004C149F"/>
    <w:rsid w:val="004C2041"/>
    <w:rsid w:val="004C4492"/>
    <w:rsid w:val="004C5BE9"/>
    <w:rsid w:val="004C6014"/>
    <w:rsid w:val="004C7EFA"/>
    <w:rsid w:val="004D1028"/>
    <w:rsid w:val="004D2BE9"/>
    <w:rsid w:val="004D3150"/>
    <w:rsid w:val="004D3230"/>
    <w:rsid w:val="004D3468"/>
    <w:rsid w:val="004D3A4F"/>
    <w:rsid w:val="004D4028"/>
    <w:rsid w:val="004D42FE"/>
    <w:rsid w:val="004D44E2"/>
    <w:rsid w:val="004D45AE"/>
    <w:rsid w:val="004D460A"/>
    <w:rsid w:val="004D466F"/>
    <w:rsid w:val="004D47BB"/>
    <w:rsid w:val="004D50D3"/>
    <w:rsid w:val="004D5A23"/>
    <w:rsid w:val="004D600F"/>
    <w:rsid w:val="004D67D4"/>
    <w:rsid w:val="004D73D6"/>
    <w:rsid w:val="004D7E70"/>
    <w:rsid w:val="004E02B9"/>
    <w:rsid w:val="004E0341"/>
    <w:rsid w:val="004E30FD"/>
    <w:rsid w:val="004E3847"/>
    <w:rsid w:val="004E43B9"/>
    <w:rsid w:val="004E4A50"/>
    <w:rsid w:val="004E4B73"/>
    <w:rsid w:val="004E52C5"/>
    <w:rsid w:val="004E5672"/>
    <w:rsid w:val="004E57B1"/>
    <w:rsid w:val="004E5E9A"/>
    <w:rsid w:val="004E5FA5"/>
    <w:rsid w:val="004E6428"/>
    <w:rsid w:val="004E6B96"/>
    <w:rsid w:val="004E6DD2"/>
    <w:rsid w:val="004E72F6"/>
    <w:rsid w:val="004F0407"/>
    <w:rsid w:val="004F2590"/>
    <w:rsid w:val="004F2FF9"/>
    <w:rsid w:val="004F3A5F"/>
    <w:rsid w:val="004F3E62"/>
    <w:rsid w:val="004F4373"/>
    <w:rsid w:val="004F4B00"/>
    <w:rsid w:val="004F57E5"/>
    <w:rsid w:val="004F6455"/>
    <w:rsid w:val="004F68A5"/>
    <w:rsid w:val="004F696F"/>
    <w:rsid w:val="004F71C5"/>
    <w:rsid w:val="005001AA"/>
    <w:rsid w:val="005001DC"/>
    <w:rsid w:val="00501191"/>
    <w:rsid w:val="0050187C"/>
    <w:rsid w:val="00501E8C"/>
    <w:rsid w:val="005033BE"/>
    <w:rsid w:val="00503C28"/>
    <w:rsid w:val="00504691"/>
    <w:rsid w:val="00504EEF"/>
    <w:rsid w:val="0050561E"/>
    <w:rsid w:val="00505C26"/>
    <w:rsid w:val="00506ABF"/>
    <w:rsid w:val="005071C3"/>
    <w:rsid w:val="0050774A"/>
    <w:rsid w:val="00507E8E"/>
    <w:rsid w:val="00510312"/>
    <w:rsid w:val="00510CDE"/>
    <w:rsid w:val="00510FCB"/>
    <w:rsid w:val="00512B79"/>
    <w:rsid w:val="005134E6"/>
    <w:rsid w:val="00514A4F"/>
    <w:rsid w:val="00515C6E"/>
    <w:rsid w:val="00515D39"/>
    <w:rsid w:val="00516DAF"/>
    <w:rsid w:val="005177CB"/>
    <w:rsid w:val="00517EBF"/>
    <w:rsid w:val="005200BE"/>
    <w:rsid w:val="0052056C"/>
    <w:rsid w:val="005208C6"/>
    <w:rsid w:val="005214DC"/>
    <w:rsid w:val="005233F5"/>
    <w:rsid w:val="00523D02"/>
    <w:rsid w:val="00523E2F"/>
    <w:rsid w:val="00524F74"/>
    <w:rsid w:val="005250A4"/>
    <w:rsid w:val="00525E73"/>
    <w:rsid w:val="00526305"/>
    <w:rsid w:val="005266FF"/>
    <w:rsid w:val="0052690F"/>
    <w:rsid w:val="00526AF9"/>
    <w:rsid w:val="00526F48"/>
    <w:rsid w:val="005279A5"/>
    <w:rsid w:val="00530D53"/>
    <w:rsid w:val="00533311"/>
    <w:rsid w:val="00534B9D"/>
    <w:rsid w:val="00536998"/>
    <w:rsid w:val="005376CF"/>
    <w:rsid w:val="00537A8F"/>
    <w:rsid w:val="00537DEE"/>
    <w:rsid w:val="005423CA"/>
    <w:rsid w:val="00542E2D"/>
    <w:rsid w:val="0054340B"/>
    <w:rsid w:val="005438D1"/>
    <w:rsid w:val="005443D0"/>
    <w:rsid w:val="00544E5C"/>
    <w:rsid w:val="00545237"/>
    <w:rsid w:val="005459FD"/>
    <w:rsid w:val="0054689C"/>
    <w:rsid w:val="00547447"/>
    <w:rsid w:val="00547885"/>
    <w:rsid w:val="005479FD"/>
    <w:rsid w:val="00547D7A"/>
    <w:rsid w:val="00547E4E"/>
    <w:rsid w:val="0055054C"/>
    <w:rsid w:val="00550D39"/>
    <w:rsid w:val="00552473"/>
    <w:rsid w:val="005527C0"/>
    <w:rsid w:val="00552D7B"/>
    <w:rsid w:val="005531E3"/>
    <w:rsid w:val="00553EAE"/>
    <w:rsid w:val="005540D8"/>
    <w:rsid w:val="00555DA1"/>
    <w:rsid w:val="00556010"/>
    <w:rsid w:val="0055667A"/>
    <w:rsid w:val="005566DC"/>
    <w:rsid w:val="00556CE8"/>
    <w:rsid w:val="00557005"/>
    <w:rsid w:val="005601DF"/>
    <w:rsid w:val="005602D3"/>
    <w:rsid w:val="00560D97"/>
    <w:rsid w:val="00560E19"/>
    <w:rsid w:val="00561731"/>
    <w:rsid w:val="005619A0"/>
    <w:rsid w:val="00561DCA"/>
    <w:rsid w:val="0056235E"/>
    <w:rsid w:val="0056262B"/>
    <w:rsid w:val="0056293C"/>
    <w:rsid w:val="00564515"/>
    <w:rsid w:val="00564FBB"/>
    <w:rsid w:val="00565C44"/>
    <w:rsid w:val="00566FAF"/>
    <w:rsid w:val="00567859"/>
    <w:rsid w:val="005704AB"/>
    <w:rsid w:val="00571354"/>
    <w:rsid w:val="0057174C"/>
    <w:rsid w:val="00572440"/>
    <w:rsid w:val="005735EF"/>
    <w:rsid w:val="0057420F"/>
    <w:rsid w:val="00574992"/>
    <w:rsid w:val="00574A9E"/>
    <w:rsid w:val="0057566C"/>
    <w:rsid w:val="00577AB5"/>
    <w:rsid w:val="00577E78"/>
    <w:rsid w:val="0058045C"/>
    <w:rsid w:val="005816B6"/>
    <w:rsid w:val="00581985"/>
    <w:rsid w:val="005844BB"/>
    <w:rsid w:val="00584E35"/>
    <w:rsid w:val="00585147"/>
    <w:rsid w:val="0058531E"/>
    <w:rsid w:val="00586AB6"/>
    <w:rsid w:val="0058721E"/>
    <w:rsid w:val="00587381"/>
    <w:rsid w:val="00587427"/>
    <w:rsid w:val="005874CE"/>
    <w:rsid w:val="00587C9C"/>
    <w:rsid w:val="00590C95"/>
    <w:rsid w:val="00590E93"/>
    <w:rsid w:val="00593654"/>
    <w:rsid w:val="005939AD"/>
    <w:rsid w:val="005944CE"/>
    <w:rsid w:val="005946E9"/>
    <w:rsid w:val="005953F2"/>
    <w:rsid w:val="005958F1"/>
    <w:rsid w:val="00596726"/>
    <w:rsid w:val="00596B1C"/>
    <w:rsid w:val="00596E47"/>
    <w:rsid w:val="00597EFB"/>
    <w:rsid w:val="005A033E"/>
    <w:rsid w:val="005A0E01"/>
    <w:rsid w:val="005A22FF"/>
    <w:rsid w:val="005A27AC"/>
    <w:rsid w:val="005A3973"/>
    <w:rsid w:val="005A4F6F"/>
    <w:rsid w:val="005A52CA"/>
    <w:rsid w:val="005A5D84"/>
    <w:rsid w:val="005A647D"/>
    <w:rsid w:val="005A6A29"/>
    <w:rsid w:val="005A782E"/>
    <w:rsid w:val="005B06F1"/>
    <w:rsid w:val="005B0EDE"/>
    <w:rsid w:val="005B178E"/>
    <w:rsid w:val="005B1831"/>
    <w:rsid w:val="005B1BC2"/>
    <w:rsid w:val="005B1E57"/>
    <w:rsid w:val="005B28BF"/>
    <w:rsid w:val="005B2ABA"/>
    <w:rsid w:val="005B3AEA"/>
    <w:rsid w:val="005B46E2"/>
    <w:rsid w:val="005B5426"/>
    <w:rsid w:val="005B6294"/>
    <w:rsid w:val="005B704F"/>
    <w:rsid w:val="005C0053"/>
    <w:rsid w:val="005C081E"/>
    <w:rsid w:val="005C18D8"/>
    <w:rsid w:val="005C2933"/>
    <w:rsid w:val="005C2E2A"/>
    <w:rsid w:val="005C3E9C"/>
    <w:rsid w:val="005C4982"/>
    <w:rsid w:val="005C4C21"/>
    <w:rsid w:val="005C5010"/>
    <w:rsid w:val="005C59D7"/>
    <w:rsid w:val="005C74F4"/>
    <w:rsid w:val="005C7B4F"/>
    <w:rsid w:val="005D5668"/>
    <w:rsid w:val="005D672A"/>
    <w:rsid w:val="005D7A4E"/>
    <w:rsid w:val="005E14A6"/>
    <w:rsid w:val="005E1762"/>
    <w:rsid w:val="005E3276"/>
    <w:rsid w:val="005E4DDB"/>
    <w:rsid w:val="005E4E03"/>
    <w:rsid w:val="005E5397"/>
    <w:rsid w:val="005E5717"/>
    <w:rsid w:val="005E5F5D"/>
    <w:rsid w:val="005E640C"/>
    <w:rsid w:val="005E669F"/>
    <w:rsid w:val="005E7314"/>
    <w:rsid w:val="005F0AAA"/>
    <w:rsid w:val="005F149C"/>
    <w:rsid w:val="005F2165"/>
    <w:rsid w:val="005F283C"/>
    <w:rsid w:val="005F2B99"/>
    <w:rsid w:val="005F2E10"/>
    <w:rsid w:val="005F3106"/>
    <w:rsid w:val="005F39F6"/>
    <w:rsid w:val="005F4996"/>
    <w:rsid w:val="005F529E"/>
    <w:rsid w:val="005F700A"/>
    <w:rsid w:val="005F71F0"/>
    <w:rsid w:val="005F7582"/>
    <w:rsid w:val="005F7EB2"/>
    <w:rsid w:val="0060123F"/>
    <w:rsid w:val="00601511"/>
    <w:rsid w:val="00601A09"/>
    <w:rsid w:val="00601E60"/>
    <w:rsid w:val="0060216E"/>
    <w:rsid w:val="006029A0"/>
    <w:rsid w:val="00603CAC"/>
    <w:rsid w:val="00604CC1"/>
    <w:rsid w:val="00604F08"/>
    <w:rsid w:val="00605E46"/>
    <w:rsid w:val="00606B4F"/>
    <w:rsid w:val="00607E99"/>
    <w:rsid w:val="00611137"/>
    <w:rsid w:val="006114F7"/>
    <w:rsid w:val="00611E82"/>
    <w:rsid w:val="006131E8"/>
    <w:rsid w:val="0061392C"/>
    <w:rsid w:val="006144E8"/>
    <w:rsid w:val="0061495B"/>
    <w:rsid w:val="00615737"/>
    <w:rsid w:val="00616B4B"/>
    <w:rsid w:val="0062043F"/>
    <w:rsid w:val="006208B9"/>
    <w:rsid w:val="00621637"/>
    <w:rsid w:val="00621FB1"/>
    <w:rsid w:val="006226E2"/>
    <w:rsid w:val="00622705"/>
    <w:rsid w:val="00622C77"/>
    <w:rsid w:val="006234E1"/>
    <w:rsid w:val="0062396E"/>
    <w:rsid w:val="00623F68"/>
    <w:rsid w:val="00623FF7"/>
    <w:rsid w:val="00624547"/>
    <w:rsid w:val="006245E8"/>
    <w:rsid w:val="0062495B"/>
    <w:rsid w:val="00625C9C"/>
    <w:rsid w:val="00625F7A"/>
    <w:rsid w:val="00627D14"/>
    <w:rsid w:val="00627EBF"/>
    <w:rsid w:val="0063002B"/>
    <w:rsid w:val="006311C7"/>
    <w:rsid w:val="0063277C"/>
    <w:rsid w:val="00632B37"/>
    <w:rsid w:val="006334B5"/>
    <w:rsid w:val="00634B11"/>
    <w:rsid w:val="00635ECE"/>
    <w:rsid w:val="00636195"/>
    <w:rsid w:val="00637255"/>
    <w:rsid w:val="00640203"/>
    <w:rsid w:val="00641EC0"/>
    <w:rsid w:val="00642B49"/>
    <w:rsid w:val="0064370A"/>
    <w:rsid w:val="00644B44"/>
    <w:rsid w:val="00645109"/>
    <w:rsid w:val="00645751"/>
    <w:rsid w:val="006458F3"/>
    <w:rsid w:val="00645EEA"/>
    <w:rsid w:val="00646890"/>
    <w:rsid w:val="00647040"/>
    <w:rsid w:val="0064783E"/>
    <w:rsid w:val="006478F2"/>
    <w:rsid w:val="00650AA3"/>
    <w:rsid w:val="006524C5"/>
    <w:rsid w:val="006529C0"/>
    <w:rsid w:val="00652D9A"/>
    <w:rsid w:val="006531BD"/>
    <w:rsid w:val="00653806"/>
    <w:rsid w:val="00653B1D"/>
    <w:rsid w:val="006547BF"/>
    <w:rsid w:val="00654AA3"/>
    <w:rsid w:val="00654AFC"/>
    <w:rsid w:val="0065634F"/>
    <w:rsid w:val="006576F7"/>
    <w:rsid w:val="00657824"/>
    <w:rsid w:val="00657B1B"/>
    <w:rsid w:val="0066191C"/>
    <w:rsid w:val="00661C84"/>
    <w:rsid w:val="00662E32"/>
    <w:rsid w:val="00662EC9"/>
    <w:rsid w:val="00663C11"/>
    <w:rsid w:val="00663CED"/>
    <w:rsid w:val="00663DF7"/>
    <w:rsid w:val="006645EA"/>
    <w:rsid w:val="00665F29"/>
    <w:rsid w:val="006664EC"/>
    <w:rsid w:val="00666688"/>
    <w:rsid w:val="00671843"/>
    <w:rsid w:val="00672F6F"/>
    <w:rsid w:val="006730E5"/>
    <w:rsid w:val="006743EA"/>
    <w:rsid w:val="00676156"/>
    <w:rsid w:val="0068043B"/>
    <w:rsid w:val="006806AF"/>
    <w:rsid w:val="0068136C"/>
    <w:rsid w:val="00681BE8"/>
    <w:rsid w:val="006822C4"/>
    <w:rsid w:val="0068241D"/>
    <w:rsid w:val="00683382"/>
    <w:rsid w:val="00683519"/>
    <w:rsid w:val="006835D3"/>
    <w:rsid w:val="00685A1D"/>
    <w:rsid w:val="00687190"/>
    <w:rsid w:val="006906EB"/>
    <w:rsid w:val="006907C3"/>
    <w:rsid w:val="00693EB2"/>
    <w:rsid w:val="00695057"/>
    <w:rsid w:val="00695AC4"/>
    <w:rsid w:val="00695E5B"/>
    <w:rsid w:val="006960B5"/>
    <w:rsid w:val="006963F1"/>
    <w:rsid w:val="00697DC8"/>
    <w:rsid w:val="006A07EE"/>
    <w:rsid w:val="006A0A58"/>
    <w:rsid w:val="006A0E7F"/>
    <w:rsid w:val="006A0EAA"/>
    <w:rsid w:val="006A17EC"/>
    <w:rsid w:val="006A28A2"/>
    <w:rsid w:val="006A4051"/>
    <w:rsid w:val="006A44E5"/>
    <w:rsid w:val="006A492E"/>
    <w:rsid w:val="006A4AA0"/>
    <w:rsid w:val="006A4CE8"/>
    <w:rsid w:val="006A5569"/>
    <w:rsid w:val="006A5BCF"/>
    <w:rsid w:val="006A7632"/>
    <w:rsid w:val="006B031E"/>
    <w:rsid w:val="006B0361"/>
    <w:rsid w:val="006B0520"/>
    <w:rsid w:val="006B0F9F"/>
    <w:rsid w:val="006B32EF"/>
    <w:rsid w:val="006B512B"/>
    <w:rsid w:val="006B5E00"/>
    <w:rsid w:val="006B69AA"/>
    <w:rsid w:val="006B6F32"/>
    <w:rsid w:val="006B787D"/>
    <w:rsid w:val="006C0795"/>
    <w:rsid w:val="006C0BD9"/>
    <w:rsid w:val="006C0C84"/>
    <w:rsid w:val="006C1782"/>
    <w:rsid w:val="006C3159"/>
    <w:rsid w:val="006C3492"/>
    <w:rsid w:val="006C446E"/>
    <w:rsid w:val="006C4645"/>
    <w:rsid w:val="006C4958"/>
    <w:rsid w:val="006C49AB"/>
    <w:rsid w:val="006C4A6F"/>
    <w:rsid w:val="006C4D66"/>
    <w:rsid w:val="006C4F50"/>
    <w:rsid w:val="006C78B0"/>
    <w:rsid w:val="006C7918"/>
    <w:rsid w:val="006D1077"/>
    <w:rsid w:val="006D1BAB"/>
    <w:rsid w:val="006D2A79"/>
    <w:rsid w:val="006D37F6"/>
    <w:rsid w:val="006D3A1E"/>
    <w:rsid w:val="006D40D3"/>
    <w:rsid w:val="006D4F54"/>
    <w:rsid w:val="006D53F2"/>
    <w:rsid w:val="006D58A1"/>
    <w:rsid w:val="006D6BBD"/>
    <w:rsid w:val="006D6E96"/>
    <w:rsid w:val="006D7BC7"/>
    <w:rsid w:val="006D7C63"/>
    <w:rsid w:val="006E000D"/>
    <w:rsid w:val="006E0663"/>
    <w:rsid w:val="006E1487"/>
    <w:rsid w:val="006E2059"/>
    <w:rsid w:val="006E21CD"/>
    <w:rsid w:val="006E2380"/>
    <w:rsid w:val="006E253F"/>
    <w:rsid w:val="006E3B8A"/>
    <w:rsid w:val="006E4379"/>
    <w:rsid w:val="006E5CF3"/>
    <w:rsid w:val="006E64A6"/>
    <w:rsid w:val="006E6EB0"/>
    <w:rsid w:val="006E7328"/>
    <w:rsid w:val="006E7795"/>
    <w:rsid w:val="006E7B71"/>
    <w:rsid w:val="006F07E0"/>
    <w:rsid w:val="006F19AD"/>
    <w:rsid w:val="006F1F49"/>
    <w:rsid w:val="006F470A"/>
    <w:rsid w:val="006F4BCF"/>
    <w:rsid w:val="006F51F9"/>
    <w:rsid w:val="006F5B8F"/>
    <w:rsid w:val="006F6149"/>
    <w:rsid w:val="006F6561"/>
    <w:rsid w:val="006F75A8"/>
    <w:rsid w:val="006F7981"/>
    <w:rsid w:val="0070105F"/>
    <w:rsid w:val="007011C1"/>
    <w:rsid w:val="0070138A"/>
    <w:rsid w:val="00702367"/>
    <w:rsid w:val="007030E1"/>
    <w:rsid w:val="007031FA"/>
    <w:rsid w:val="00704342"/>
    <w:rsid w:val="00704BB1"/>
    <w:rsid w:val="007051D0"/>
    <w:rsid w:val="00705C7C"/>
    <w:rsid w:val="00706441"/>
    <w:rsid w:val="00707871"/>
    <w:rsid w:val="00707990"/>
    <w:rsid w:val="007102E8"/>
    <w:rsid w:val="00710982"/>
    <w:rsid w:val="00711D26"/>
    <w:rsid w:val="007124ED"/>
    <w:rsid w:val="0071265D"/>
    <w:rsid w:val="0071390B"/>
    <w:rsid w:val="00714165"/>
    <w:rsid w:val="0071482B"/>
    <w:rsid w:val="0071571D"/>
    <w:rsid w:val="0071602A"/>
    <w:rsid w:val="007174AF"/>
    <w:rsid w:val="007176C8"/>
    <w:rsid w:val="00717DCB"/>
    <w:rsid w:val="007207E1"/>
    <w:rsid w:val="00721193"/>
    <w:rsid w:val="00721286"/>
    <w:rsid w:val="00721C2D"/>
    <w:rsid w:val="0072583F"/>
    <w:rsid w:val="00725868"/>
    <w:rsid w:val="00725D65"/>
    <w:rsid w:val="00727452"/>
    <w:rsid w:val="007277A0"/>
    <w:rsid w:val="007279D1"/>
    <w:rsid w:val="00727C98"/>
    <w:rsid w:val="00727EE8"/>
    <w:rsid w:val="00730242"/>
    <w:rsid w:val="00730AE2"/>
    <w:rsid w:val="00731AF6"/>
    <w:rsid w:val="00731B8E"/>
    <w:rsid w:val="00732361"/>
    <w:rsid w:val="00735B2A"/>
    <w:rsid w:val="00735E21"/>
    <w:rsid w:val="0073651D"/>
    <w:rsid w:val="00737D88"/>
    <w:rsid w:val="00740084"/>
    <w:rsid w:val="00742117"/>
    <w:rsid w:val="00742AC0"/>
    <w:rsid w:val="007432E7"/>
    <w:rsid w:val="00743431"/>
    <w:rsid w:val="007439A2"/>
    <w:rsid w:val="00744154"/>
    <w:rsid w:val="0074529C"/>
    <w:rsid w:val="00745429"/>
    <w:rsid w:val="00746AE8"/>
    <w:rsid w:val="00746C15"/>
    <w:rsid w:val="00746E64"/>
    <w:rsid w:val="00750FBA"/>
    <w:rsid w:val="00751330"/>
    <w:rsid w:val="00751C32"/>
    <w:rsid w:val="007522B0"/>
    <w:rsid w:val="00752A66"/>
    <w:rsid w:val="00752B27"/>
    <w:rsid w:val="00752C9C"/>
    <w:rsid w:val="00752D41"/>
    <w:rsid w:val="00752D90"/>
    <w:rsid w:val="0075348F"/>
    <w:rsid w:val="00754425"/>
    <w:rsid w:val="00754A63"/>
    <w:rsid w:val="00756AF7"/>
    <w:rsid w:val="00756F6C"/>
    <w:rsid w:val="00757846"/>
    <w:rsid w:val="00757E79"/>
    <w:rsid w:val="007603DF"/>
    <w:rsid w:val="00760643"/>
    <w:rsid w:val="00762213"/>
    <w:rsid w:val="007625A5"/>
    <w:rsid w:val="007627D2"/>
    <w:rsid w:val="007635F5"/>
    <w:rsid w:val="00763D87"/>
    <w:rsid w:val="00763F5C"/>
    <w:rsid w:val="00764170"/>
    <w:rsid w:val="00764DC5"/>
    <w:rsid w:val="00764EDA"/>
    <w:rsid w:val="007676BA"/>
    <w:rsid w:val="00771B02"/>
    <w:rsid w:val="007722F1"/>
    <w:rsid w:val="007723DD"/>
    <w:rsid w:val="00772D4E"/>
    <w:rsid w:val="00773D57"/>
    <w:rsid w:val="00774AFC"/>
    <w:rsid w:val="00774C8D"/>
    <w:rsid w:val="00774E0E"/>
    <w:rsid w:val="007759AF"/>
    <w:rsid w:val="007763CB"/>
    <w:rsid w:val="007809B3"/>
    <w:rsid w:val="007812B5"/>
    <w:rsid w:val="007812C8"/>
    <w:rsid w:val="00782B9C"/>
    <w:rsid w:val="00784045"/>
    <w:rsid w:val="0078478F"/>
    <w:rsid w:val="00784871"/>
    <w:rsid w:val="00784B83"/>
    <w:rsid w:val="00785967"/>
    <w:rsid w:val="007861E6"/>
    <w:rsid w:val="007866A8"/>
    <w:rsid w:val="00787BA2"/>
    <w:rsid w:val="00791EE7"/>
    <w:rsid w:val="00792DFF"/>
    <w:rsid w:val="007942E7"/>
    <w:rsid w:val="00794A46"/>
    <w:rsid w:val="00795CE8"/>
    <w:rsid w:val="00795D9D"/>
    <w:rsid w:val="0079613E"/>
    <w:rsid w:val="007964C5"/>
    <w:rsid w:val="00796628"/>
    <w:rsid w:val="00796ACA"/>
    <w:rsid w:val="0079756D"/>
    <w:rsid w:val="007A07E5"/>
    <w:rsid w:val="007A1BB9"/>
    <w:rsid w:val="007A1F66"/>
    <w:rsid w:val="007A1FEF"/>
    <w:rsid w:val="007A2211"/>
    <w:rsid w:val="007A6566"/>
    <w:rsid w:val="007A7E9C"/>
    <w:rsid w:val="007B22D5"/>
    <w:rsid w:val="007B291C"/>
    <w:rsid w:val="007B2A92"/>
    <w:rsid w:val="007B4EA7"/>
    <w:rsid w:val="007B5A80"/>
    <w:rsid w:val="007B790B"/>
    <w:rsid w:val="007C0469"/>
    <w:rsid w:val="007C1C3A"/>
    <w:rsid w:val="007C1C73"/>
    <w:rsid w:val="007C2EEA"/>
    <w:rsid w:val="007C4A23"/>
    <w:rsid w:val="007C5DAD"/>
    <w:rsid w:val="007C6A35"/>
    <w:rsid w:val="007D1922"/>
    <w:rsid w:val="007D2633"/>
    <w:rsid w:val="007D2914"/>
    <w:rsid w:val="007D2E71"/>
    <w:rsid w:val="007D30FA"/>
    <w:rsid w:val="007D3F3D"/>
    <w:rsid w:val="007D4EF2"/>
    <w:rsid w:val="007D5422"/>
    <w:rsid w:val="007D584D"/>
    <w:rsid w:val="007D5ACF"/>
    <w:rsid w:val="007D669D"/>
    <w:rsid w:val="007D7DC1"/>
    <w:rsid w:val="007E045D"/>
    <w:rsid w:val="007E117E"/>
    <w:rsid w:val="007E16B1"/>
    <w:rsid w:val="007E1A2A"/>
    <w:rsid w:val="007E1E7A"/>
    <w:rsid w:val="007E2056"/>
    <w:rsid w:val="007E2966"/>
    <w:rsid w:val="007E2BF3"/>
    <w:rsid w:val="007E2D27"/>
    <w:rsid w:val="007E4BAA"/>
    <w:rsid w:val="007E4C03"/>
    <w:rsid w:val="007E61CF"/>
    <w:rsid w:val="007E63BE"/>
    <w:rsid w:val="007E68F0"/>
    <w:rsid w:val="007E6E6D"/>
    <w:rsid w:val="007F0309"/>
    <w:rsid w:val="007F0506"/>
    <w:rsid w:val="007F058C"/>
    <w:rsid w:val="007F1410"/>
    <w:rsid w:val="007F1A5A"/>
    <w:rsid w:val="007F2C40"/>
    <w:rsid w:val="007F49E5"/>
    <w:rsid w:val="007F7723"/>
    <w:rsid w:val="007F7BAB"/>
    <w:rsid w:val="008001D7"/>
    <w:rsid w:val="008008CC"/>
    <w:rsid w:val="00800CC5"/>
    <w:rsid w:val="008023F0"/>
    <w:rsid w:val="0080287E"/>
    <w:rsid w:val="00802BEC"/>
    <w:rsid w:val="008030D1"/>
    <w:rsid w:val="00806569"/>
    <w:rsid w:val="00806C30"/>
    <w:rsid w:val="008070E6"/>
    <w:rsid w:val="00807730"/>
    <w:rsid w:val="00810272"/>
    <w:rsid w:val="00810284"/>
    <w:rsid w:val="00810537"/>
    <w:rsid w:val="00811595"/>
    <w:rsid w:val="008131D5"/>
    <w:rsid w:val="0082039C"/>
    <w:rsid w:val="008211F1"/>
    <w:rsid w:val="0082155D"/>
    <w:rsid w:val="008217C9"/>
    <w:rsid w:val="00821C77"/>
    <w:rsid w:val="00821CB9"/>
    <w:rsid w:val="00822128"/>
    <w:rsid w:val="00822B1A"/>
    <w:rsid w:val="00823C7E"/>
    <w:rsid w:val="00824B8D"/>
    <w:rsid w:val="00825C1D"/>
    <w:rsid w:val="00826065"/>
    <w:rsid w:val="00826489"/>
    <w:rsid w:val="00826916"/>
    <w:rsid w:val="0082745E"/>
    <w:rsid w:val="00830C12"/>
    <w:rsid w:val="008316DE"/>
    <w:rsid w:val="00831C05"/>
    <w:rsid w:val="00833A99"/>
    <w:rsid w:val="008342B8"/>
    <w:rsid w:val="008343EE"/>
    <w:rsid w:val="00834CE8"/>
    <w:rsid w:val="00834D48"/>
    <w:rsid w:val="00835625"/>
    <w:rsid w:val="008358AC"/>
    <w:rsid w:val="00835A45"/>
    <w:rsid w:val="00835EFE"/>
    <w:rsid w:val="0083604C"/>
    <w:rsid w:val="00836966"/>
    <w:rsid w:val="00837064"/>
    <w:rsid w:val="008376F9"/>
    <w:rsid w:val="00840B74"/>
    <w:rsid w:val="0084147B"/>
    <w:rsid w:val="00841CB2"/>
    <w:rsid w:val="0084391D"/>
    <w:rsid w:val="00843D1E"/>
    <w:rsid w:val="00844224"/>
    <w:rsid w:val="00845009"/>
    <w:rsid w:val="00845DA6"/>
    <w:rsid w:val="00846542"/>
    <w:rsid w:val="008467AE"/>
    <w:rsid w:val="00851036"/>
    <w:rsid w:val="0085141A"/>
    <w:rsid w:val="00851BE3"/>
    <w:rsid w:val="00852B85"/>
    <w:rsid w:val="00852F59"/>
    <w:rsid w:val="00853933"/>
    <w:rsid w:val="00853A75"/>
    <w:rsid w:val="008563C8"/>
    <w:rsid w:val="008601AC"/>
    <w:rsid w:val="008624D1"/>
    <w:rsid w:val="00863247"/>
    <w:rsid w:val="008632DE"/>
    <w:rsid w:val="00864279"/>
    <w:rsid w:val="008659EF"/>
    <w:rsid w:val="0086664F"/>
    <w:rsid w:val="00866699"/>
    <w:rsid w:val="008667AF"/>
    <w:rsid w:val="008668EE"/>
    <w:rsid w:val="00866D3E"/>
    <w:rsid w:val="008678FA"/>
    <w:rsid w:val="00870138"/>
    <w:rsid w:val="0087139F"/>
    <w:rsid w:val="0087185F"/>
    <w:rsid w:val="00871960"/>
    <w:rsid w:val="008719AE"/>
    <w:rsid w:val="00873C0F"/>
    <w:rsid w:val="00873C15"/>
    <w:rsid w:val="00873F11"/>
    <w:rsid w:val="0087445A"/>
    <w:rsid w:val="00874970"/>
    <w:rsid w:val="008760B6"/>
    <w:rsid w:val="00877124"/>
    <w:rsid w:val="00877F32"/>
    <w:rsid w:val="008805C9"/>
    <w:rsid w:val="008809C7"/>
    <w:rsid w:val="00881765"/>
    <w:rsid w:val="00881843"/>
    <w:rsid w:val="0088220D"/>
    <w:rsid w:val="008824FF"/>
    <w:rsid w:val="00882811"/>
    <w:rsid w:val="00883600"/>
    <w:rsid w:val="008850C6"/>
    <w:rsid w:val="008856AE"/>
    <w:rsid w:val="008859BB"/>
    <w:rsid w:val="00886506"/>
    <w:rsid w:val="00886AB5"/>
    <w:rsid w:val="00890BCC"/>
    <w:rsid w:val="00890EBB"/>
    <w:rsid w:val="00891469"/>
    <w:rsid w:val="00891D00"/>
    <w:rsid w:val="00892822"/>
    <w:rsid w:val="00892985"/>
    <w:rsid w:val="00893285"/>
    <w:rsid w:val="00893641"/>
    <w:rsid w:val="00893666"/>
    <w:rsid w:val="00893745"/>
    <w:rsid w:val="008939C9"/>
    <w:rsid w:val="00893E18"/>
    <w:rsid w:val="00894B9E"/>
    <w:rsid w:val="00894D28"/>
    <w:rsid w:val="00895776"/>
    <w:rsid w:val="00896B61"/>
    <w:rsid w:val="00897FFA"/>
    <w:rsid w:val="008A00F2"/>
    <w:rsid w:val="008A0E35"/>
    <w:rsid w:val="008A16DA"/>
    <w:rsid w:val="008A218F"/>
    <w:rsid w:val="008A3100"/>
    <w:rsid w:val="008A40D9"/>
    <w:rsid w:val="008A4114"/>
    <w:rsid w:val="008A4625"/>
    <w:rsid w:val="008A4DA4"/>
    <w:rsid w:val="008B0EB4"/>
    <w:rsid w:val="008B27DD"/>
    <w:rsid w:val="008B2962"/>
    <w:rsid w:val="008B29CE"/>
    <w:rsid w:val="008B482A"/>
    <w:rsid w:val="008B5081"/>
    <w:rsid w:val="008B5BC6"/>
    <w:rsid w:val="008B60AC"/>
    <w:rsid w:val="008C14DB"/>
    <w:rsid w:val="008C2A2D"/>
    <w:rsid w:val="008C3D90"/>
    <w:rsid w:val="008C4284"/>
    <w:rsid w:val="008C51A3"/>
    <w:rsid w:val="008C778A"/>
    <w:rsid w:val="008C794B"/>
    <w:rsid w:val="008D00B5"/>
    <w:rsid w:val="008D01E7"/>
    <w:rsid w:val="008D11EC"/>
    <w:rsid w:val="008D2275"/>
    <w:rsid w:val="008D25A4"/>
    <w:rsid w:val="008D2BDD"/>
    <w:rsid w:val="008D3B04"/>
    <w:rsid w:val="008D5063"/>
    <w:rsid w:val="008D51E8"/>
    <w:rsid w:val="008D5633"/>
    <w:rsid w:val="008D6F88"/>
    <w:rsid w:val="008D784F"/>
    <w:rsid w:val="008E076D"/>
    <w:rsid w:val="008E2438"/>
    <w:rsid w:val="008E24CE"/>
    <w:rsid w:val="008E2517"/>
    <w:rsid w:val="008E2F47"/>
    <w:rsid w:val="008E3B64"/>
    <w:rsid w:val="008E4B78"/>
    <w:rsid w:val="008E60AD"/>
    <w:rsid w:val="008E6986"/>
    <w:rsid w:val="008E7218"/>
    <w:rsid w:val="008E7443"/>
    <w:rsid w:val="008E7F6D"/>
    <w:rsid w:val="008E7F9B"/>
    <w:rsid w:val="008F0038"/>
    <w:rsid w:val="008F0D7D"/>
    <w:rsid w:val="008F132C"/>
    <w:rsid w:val="008F2427"/>
    <w:rsid w:val="008F2D57"/>
    <w:rsid w:val="008F3BF6"/>
    <w:rsid w:val="008F42DA"/>
    <w:rsid w:val="008F4FC4"/>
    <w:rsid w:val="008F5001"/>
    <w:rsid w:val="008F5E31"/>
    <w:rsid w:val="008F698B"/>
    <w:rsid w:val="008F7C08"/>
    <w:rsid w:val="00900064"/>
    <w:rsid w:val="0090133E"/>
    <w:rsid w:val="0090197C"/>
    <w:rsid w:val="00903806"/>
    <w:rsid w:val="00903950"/>
    <w:rsid w:val="00903CCB"/>
    <w:rsid w:val="00903E92"/>
    <w:rsid w:val="00904B53"/>
    <w:rsid w:val="00905B4E"/>
    <w:rsid w:val="009065D5"/>
    <w:rsid w:val="00907195"/>
    <w:rsid w:val="00907DCA"/>
    <w:rsid w:val="0091121C"/>
    <w:rsid w:val="00911413"/>
    <w:rsid w:val="00911700"/>
    <w:rsid w:val="0091250B"/>
    <w:rsid w:val="00912595"/>
    <w:rsid w:val="00912CB2"/>
    <w:rsid w:val="009134C2"/>
    <w:rsid w:val="009136C8"/>
    <w:rsid w:val="00913F6F"/>
    <w:rsid w:val="00914794"/>
    <w:rsid w:val="00914FE3"/>
    <w:rsid w:val="00915046"/>
    <w:rsid w:val="009158BC"/>
    <w:rsid w:val="00915B64"/>
    <w:rsid w:val="00915EBF"/>
    <w:rsid w:val="009169D0"/>
    <w:rsid w:val="00920B97"/>
    <w:rsid w:val="009211C8"/>
    <w:rsid w:val="0092223D"/>
    <w:rsid w:val="009235EA"/>
    <w:rsid w:val="009236B9"/>
    <w:rsid w:val="00923858"/>
    <w:rsid w:val="00923ECD"/>
    <w:rsid w:val="00924119"/>
    <w:rsid w:val="00924E41"/>
    <w:rsid w:val="0092574A"/>
    <w:rsid w:val="00925B8A"/>
    <w:rsid w:val="0092799B"/>
    <w:rsid w:val="00927C7D"/>
    <w:rsid w:val="00927DC0"/>
    <w:rsid w:val="0093018F"/>
    <w:rsid w:val="00931ABA"/>
    <w:rsid w:val="00932452"/>
    <w:rsid w:val="00932515"/>
    <w:rsid w:val="009326E1"/>
    <w:rsid w:val="009329FF"/>
    <w:rsid w:val="00934C85"/>
    <w:rsid w:val="009360B5"/>
    <w:rsid w:val="00937B8F"/>
    <w:rsid w:val="00940BA2"/>
    <w:rsid w:val="009417F9"/>
    <w:rsid w:val="0094627C"/>
    <w:rsid w:val="0094647E"/>
    <w:rsid w:val="009464E6"/>
    <w:rsid w:val="00946976"/>
    <w:rsid w:val="009518D6"/>
    <w:rsid w:val="00951FB0"/>
    <w:rsid w:val="00952349"/>
    <w:rsid w:val="009527E7"/>
    <w:rsid w:val="00952EA0"/>
    <w:rsid w:val="00952F62"/>
    <w:rsid w:val="0095424F"/>
    <w:rsid w:val="00954543"/>
    <w:rsid w:val="00954BF1"/>
    <w:rsid w:val="00954C65"/>
    <w:rsid w:val="00954CA0"/>
    <w:rsid w:val="00954CCD"/>
    <w:rsid w:val="009552C6"/>
    <w:rsid w:val="00955C53"/>
    <w:rsid w:val="00955F2E"/>
    <w:rsid w:val="00956060"/>
    <w:rsid w:val="0095714B"/>
    <w:rsid w:val="009574A4"/>
    <w:rsid w:val="0096084B"/>
    <w:rsid w:val="00960982"/>
    <w:rsid w:val="00961C67"/>
    <w:rsid w:val="00961E66"/>
    <w:rsid w:val="00962713"/>
    <w:rsid w:val="009628E9"/>
    <w:rsid w:val="00963122"/>
    <w:rsid w:val="00963A36"/>
    <w:rsid w:val="00964BC0"/>
    <w:rsid w:val="00964E23"/>
    <w:rsid w:val="00965698"/>
    <w:rsid w:val="00965DF1"/>
    <w:rsid w:val="009677D0"/>
    <w:rsid w:val="00971123"/>
    <w:rsid w:val="00971BBB"/>
    <w:rsid w:val="0097310D"/>
    <w:rsid w:val="0097355E"/>
    <w:rsid w:val="009746A4"/>
    <w:rsid w:val="0097597C"/>
    <w:rsid w:val="00977994"/>
    <w:rsid w:val="00977E19"/>
    <w:rsid w:val="00980F04"/>
    <w:rsid w:val="009810B3"/>
    <w:rsid w:val="00982B52"/>
    <w:rsid w:val="00983FD9"/>
    <w:rsid w:val="00984911"/>
    <w:rsid w:val="009850F5"/>
    <w:rsid w:val="00985A1F"/>
    <w:rsid w:val="00985AED"/>
    <w:rsid w:val="00986093"/>
    <w:rsid w:val="0098696B"/>
    <w:rsid w:val="00986EB9"/>
    <w:rsid w:val="0098717D"/>
    <w:rsid w:val="009875FF"/>
    <w:rsid w:val="00991B8F"/>
    <w:rsid w:val="00993AAD"/>
    <w:rsid w:val="009940E4"/>
    <w:rsid w:val="0099496D"/>
    <w:rsid w:val="009955A2"/>
    <w:rsid w:val="009955E6"/>
    <w:rsid w:val="00996325"/>
    <w:rsid w:val="00996FCB"/>
    <w:rsid w:val="00997591"/>
    <w:rsid w:val="009A1B88"/>
    <w:rsid w:val="009A22DF"/>
    <w:rsid w:val="009A43E1"/>
    <w:rsid w:val="009A51B9"/>
    <w:rsid w:val="009A6B15"/>
    <w:rsid w:val="009B0A93"/>
    <w:rsid w:val="009B1935"/>
    <w:rsid w:val="009B1A33"/>
    <w:rsid w:val="009B1A34"/>
    <w:rsid w:val="009B25C5"/>
    <w:rsid w:val="009B2FAD"/>
    <w:rsid w:val="009B3693"/>
    <w:rsid w:val="009B488B"/>
    <w:rsid w:val="009B4EFC"/>
    <w:rsid w:val="009B506A"/>
    <w:rsid w:val="009B5EE2"/>
    <w:rsid w:val="009B6145"/>
    <w:rsid w:val="009B658B"/>
    <w:rsid w:val="009B7392"/>
    <w:rsid w:val="009C10B4"/>
    <w:rsid w:val="009C270D"/>
    <w:rsid w:val="009C2856"/>
    <w:rsid w:val="009C4618"/>
    <w:rsid w:val="009C47B2"/>
    <w:rsid w:val="009C504A"/>
    <w:rsid w:val="009C54F5"/>
    <w:rsid w:val="009C5A02"/>
    <w:rsid w:val="009C635D"/>
    <w:rsid w:val="009C6A7A"/>
    <w:rsid w:val="009C7CF3"/>
    <w:rsid w:val="009C7DC7"/>
    <w:rsid w:val="009D0609"/>
    <w:rsid w:val="009D09FB"/>
    <w:rsid w:val="009D0E40"/>
    <w:rsid w:val="009D25EB"/>
    <w:rsid w:val="009D2E6B"/>
    <w:rsid w:val="009D4976"/>
    <w:rsid w:val="009D5388"/>
    <w:rsid w:val="009D7981"/>
    <w:rsid w:val="009E06B4"/>
    <w:rsid w:val="009E1BCD"/>
    <w:rsid w:val="009E264E"/>
    <w:rsid w:val="009E2931"/>
    <w:rsid w:val="009E2D7E"/>
    <w:rsid w:val="009E2E5D"/>
    <w:rsid w:val="009E37E8"/>
    <w:rsid w:val="009E50E5"/>
    <w:rsid w:val="009E56CF"/>
    <w:rsid w:val="009E7FE9"/>
    <w:rsid w:val="009F0395"/>
    <w:rsid w:val="009F0C0C"/>
    <w:rsid w:val="009F0E91"/>
    <w:rsid w:val="009F18F7"/>
    <w:rsid w:val="009F2A65"/>
    <w:rsid w:val="009F2BAE"/>
    <w:rsid w:val="009F2F7D"/>
    <w:rsid w:val="009F33C5"/>
    <w:rsid w:val="009F3704"/>
    <w:rsid w:val="009F378D"/>
    <w:rsid w:val="009F423A"/>
    <w:rsid w:val="009F42EA"/>
    <w:rsid w:val="009F4344"/>
    <w:rsid w:val="009F4637"/>
    <w:rsid w:val="009F4B7C"/>
    <w:rsid w:val="009F4D24"/>
    <w:rsid w:val="009F52D6"/>
    <w:rsid w:val="009F5E0D"/>
    <w:rsid w:val="009F6095"/>
    <w:rsid w:val="009F72C7"/>
    <w:rsid w:val="009F73DD"/>
    <w:rsid w:val="009F75A4"/>
    <w:rsid w:val="00A005D1"/>
    <w:rsid w:val="00A02757"/>
    <w:rsid w:val="00A03847"/>
    <w:rsid w:val="00A0388B"/>
    <w:rsid w:val="00A05252"/>
    <w:rsid w:val="00A053B0"/>
    <w:rsid w:val="00A06076"/>
    <w:rsid w:val="00A0623E"/>
    <w:rsid w:val="00A07318"/>
    <w:rsid w:val="00A07BBF"/>
    <w:rsid w:val="00A07BE2"/>
    <w:rsid w:val="00A07F2F"/>
    <w:rsid w:val="00A109BB"/>
    <w:rsid w:val="00A115AB"/>
    <w:rsid w:val="00A1202D"/>
    <w:rsid w:val="00A1324A"/>
    <w:rsid w:val="00A13833"/>
    <w:rsid w:val="00A13BB7"/>
    <w:rsid w:val="00A13C4F"/>
    <w:rsid w:val="00A13FAD"/>
    <w:rsid w:val="00A15263"/>
    <w:rsid w:val="00A16FC6"/>
    <w:rsid w:val="00A1755B"/>
    <w:rsid w:val="00A17615"/>
    <w:rsid w:val="00A179AC"/>
    <w:rsid w:val="00A20EF1"/>
    <w:rsid w:val="00A22335"/>
    <w:rsid w:val="00A22BFD"/>
    <w:rsid w:val="00A22FD8"/>
    <w:rsid w:val="00A2517F"/>
    <w:rsid w:val="00A25607"/>
    <w:rsid w:val="00A273D6"/>
    <w:rsid w:val="00A27B38"/>
    <w:rsid w:val="00A30418"/>
    <w:rsid w:val="00A31259"/>
    <w:rsid w:val="00A341E2"/>
    <w:rsid w:val="00A34F74"/>
    <w:rsid w:val="00A356A2"/>
    <w:rsid w:val="00A36EA5"/>
    <w:rsid w:val="00A3755A"/>
    <w:rsid w:val="00A37807"/>
    <w:rsid w:val="00A41C9C"/>
    <w:rsid w:val="00A43B82"/>
    <w:rsid w:val="00A44CAF"/>
    <w:rsid w:val="00A450B5"/>
    <w:rsid w:val="00A45B87"/>
    <w:rsid w:val="00A47C72"/>
    <w:rsid w:val="00A500B9"/>
    <w:rsid w:val="00A5016C"/>
    <w:rsid w:val="00A538B1"/>
    <w:rsid w:val="00A53B25"/>
    <w:rsid w:val="00A5430D"/>
    <w:rsid w:val="00A54377"/>
    <w:rsid w:val="00A55047"/>
    <w:rsid w:val="00A55CC8"/>
    <w:rsid w:val="00A56473"/>
    <w:rsid w:val="00A565DD"/>
    <w:rsid w:val="00A5728A"/>
    <w:rsid w:val="00A57807"/>
    <w:rsid w:val="00A6152A"/>
    <w:rsid w:val="00A6207E"/>
    <w:rsid w:val="00A6232D"/>
    <w:rsid w:val="00A629A1"/>
    <w:rsid w:val="00A62CCD"/>
    <w:rsid w:val="00A62DAD"/>
    <w:rsid w:val="00A64D2D"/>
    <w:rsid w:val="00A66AF6"/>
    <w:rsid w:val="00A66CA9"/>
    <w:rsid w:val="00A67CDA"/>
    <w:rsid w:val="00A71089"/>
    <w:rsid w:val="00A7138F"/>
    <w:rsid w:val="00A71D4A"/>
    <w:rsid w:val="00A71FB3"/>
    <w:rsid w:val="00A72313"/>
    <w:rsid w:val="00A725CC"/>
    <w:rsid w:val="00A72EFC"/>
    <w:rsid w:val="00A7411B"/>
    <w:rsid w:val="00A75404"/>
    <w:rsid w:val="00A75BAA"/>
    <w:rsid w:val="00A76333"/>
    <w:rsid w:val="00A76B1C"/>
    <w:rsid w:val="00A77451"/>
    <w:rsid w:val="00A77479"/>
    <w:rsid w:val="00A80810"/>
    <w:rsid w:val="00A832D4"/>
    <w:rsid w:val="00A84835"/>
    <w:rsid w:val="00A849ED"/>
    <w:rsid w:val="00A85748"/>
    <w:rsid w:val="00A85B0A"/>
    <w:rsid w:val="00A866F4"/>
    <w:rsid w:val="00A8719A"/>
    <w:rsid w:val="00A87BD7"/>
    <w:rsid w:val="00A9002E"/>
    <w:rsid w:val="00A90378"/>
    <w:rsid w:val="00A914B7"/>
    <w:rsid w:val="00A915F3"/>
    <w:rsid w:val="00A9532C"/>
    <w:rsid w:val="00A962EE"/>
    <w:rsid w:val="00A96373"/>
    <w:rsid w:val="00A9754A"/>
    <w:rsid w:val="00AA0DB9"/>
    <w:rsid w:val="00AA107D"/>
    <w:rsid w:val="00AA1481"/>
    <w:rsid w:val="00AA1C94"/>
    <w:rsid w:val="00AA300F"/>
    <w:rsid w:val="00AA3097"/>
    <w:rsid w:val="00AA379F"/>
    <w:rsid w:val="00AA37C3"/>
    <w:rsid w:val="00AA48DE"/>
    <w:rsid w:val="00AB0302"/>
    <w:rsid w:val="00AB0B6F"/>
    <w:rsid w:val="00AB0C87"/>
    <w:rsid w:val="00AB0DE9"/>
    <w:rsid w:val="00AB1EB6"/>
    <w:rsid w:val="00AB4A06"/>
    <w:rsid w:val="00AB5A1A"/>
    <w:rsid w:val="00AB6143"/>
    <w:rsid w:val="00AB755F"/>
    <w:rsid w:val="00AC05B2"/>
    <w:rsid w:val="00AC0C01"/>
    <w:rsid w:val="00AC0C97"/>
    <w:rsid w:val="00AC15D3"/>
    <w:rsid w:val="00AC1972"/>
    <w:rsid w:val="00AC2EAC"/>
    <w:rsid w:val="00AC364B"/>
    <w:rsid w:val="00AC388A"/>
    <w:rsid w:val="00AC3E67"/>
    <w:rsid w:val="00AC4087"/>
    <w:rsid w:val="00AC6285"/>
    <w:rsid w:val="00AD0956"/>
    <w:rsid w:val="00AD0D7F"/>
    <w:rsid w:val="00AD1D8C"/>
    <w:rsid w:val="00AD3894"/>
    <w:rsid w:val="00AD3B52"/>
    <w:rsid w:val="00AD3B7C"/>
    <w:rsid w:val="00AD3E8B"/>
    <w:rsid w:val="00AD4463"/>
    <w:rsid w:val="00AD4E37"/>
    <w:rsid w:val="00AD6651"/>
    <w:rsid w:val="00AD6902"/>
    <w:rsid w:val="00AD6C9D"/>
    <w:rsid w:val="00AD6EFD"/>
    <w:rsid w:val="00AD6F69"/>
    <w:rsid w:val="00AD7626"/>
    <w:rsid w:val="00AD7CAC"/>
    <w:rsid w:val="00AD7D81"/>
    <w:rsid w:val="00AE0444"/>
    <w:rsid w:val="00AE0BBD"/>
    <w:rsid w:val="00AE1E43"/>
    <w:rsid w:val="00AE4C02"/>
    <w:rsid w:val="00AE4DD8"/>
    <w:rsid w:val="00AE56ED"/>
    <w:rsid w:val="00AE7283"/>
    <w:rsid w:val="00AF18CD"/>
    <w:rsid w:val="00AF1ABF"/>
    <w:rsid w:val="00AF2022"/>
    <w:rsid w:val="00AF2D69"/>
    <w:rsid w:val="00AF38BA"/>
    <w:rsid w:val="00AF4E1C"/>
    <w:rsid w:val="00AF5A95"/>
    <w:rsid w:val="00AF6698"/>
    <w:rsid w:val="00AF69FD"/>
    <w:rsid w:val="00AF6C0E"/>
    <w:rsid w:val="00AF7E57"/>
    <w:rsid w:val="00B01E92"/>
    <w:rsid w:val="00B02C79"/>
    <w:rsid w:val="00B03296"/>
    <w:rsid w:val="00B0410D"/>
    <w:rsid w:val="00B0474E"/>
    <w:rsid w:val="00B0533A"/>
    <w:rsid w:val="00B0556E"/>
    <w:rsid w:val="00B069A1"/>
    <w:rsid w:val="00B06C97"/>
    <w:rsid w:val="00B07F9D"/>
    <w:rsid w:val="00B110B1"/>
    <w:rsid w:val="00B1147F"/>
    <w:rsid w:val="00B114A6"/>
    <w:rsid w:val="00B12404"/>
    <w:rsid w:val="00B12FF3"/>
    <w:rsid w:val="00B165F6"/>
    <w:rsid w:val="00B17530"/>
    <w:rsid w:val="00B17B95"/>
    <w:rsid w:val="00B20F6B"/>
    <w:rsid w:val="00B22095"/>
    <w:rsid w:val="00B22A20"/>
    <w:rsid w:val="00B22DD4"/>
    <w:rsid w:val="00B2317B"/>
    <w:rsid w:val="00B23B45"/>
    <w:rsid w:val="00B246FC"/>
    <w:rsid w:val="00B253C0"/>
    <w:rsid w:val="00B268AB"/>
    <w:rsid w:val="00B2703D"/>
    <w:rsid w:val="00B274DE"/>
    <w:rsid w:val="00B3015E"/>
    <w:rsid w:val="00B31271"/>
    <w:rsid w:val="00B32442"/>
    <w:rsid w:val="00B32738"/>
    <w:rsid w:val="00B32BAA"/>
    <w:rsid w:val="00B32F05"/>
    <w:rsid w:val="00B336DF"/>
    <w:rsid w:val="00B33FF0"/>
    <w:rsid w:val="00B34215"/>
    <w:rsid w:val="00B36BD2"/>
    <w:rsid w:val="00B372BE"/>
    <w:rsid w:val="00B379FE"/>
    <w:rsid w:val="00B40E17"/>
    <w:rsid w:val="00B41C8B"/>
    <w:rsid w:val="00B42110"/>
    <w:rsid w:val="00B42A61"/>
    <w:rsid w:val="00B42DF6"/>
    <w:rsid w:val="00B4464C"/>
    <w:rsid w:val="00B44AD2"/>
    <w:rsid w:val="00B44DC8"/>
    <w:rsid w:val="00B44E3D"/>
    <w:rsid w:val="00B45755"/>
    <w:rsid w:val="00B460F9"/>
    <w:rsid w:val="00B462ED"/>
    <w:rsid w:val="00B46A37"/>
    <w:rsid w:val="00B470A3"/>
    <w:rsid w:val="00B474DF"/>
    <w:rsid w:val="00B477AA"/>
    <w:rsid w:val="00B5055B"/>
    <w:rsid w:val="00B50681"/>
    <w:rsid w:val="00B51718"/>
    <w:rsid w:val="00B522B5"/>
    <w:rsid w:val="00B5246B"/>
    <w:rsid w:val="00B534E6"/>
    <w:rsid w:val="00B541D1"/>
    <w:rsid w:val="00B542E5"/>
    <w:rsid w:val="00B5495C"/>
    <w:rsid w:val="00B55ECA"/>
    <w:rsid w:val="00B569E2"/>
    <w:rsid w:val="00B56E65"/>
    <w:rsid w:val="00B56F36"/>
    <w:rsid w:val="00B570BB"/>
    <w:rsid w:val="00B571C0"/>
    <w:rsid w:val="00B60D1C"/>
    <w:rsid w:val="00B61DB6"/>
    <w:rsid w:val="00B65461"/>
    <w:rsid w:val="00B65AD1"/>
    <w:rsid w:val="00B65BD7"/>
    <w:rsid w:val="00B65C5C"/>
    <w:rsid w:val="00B67703"/>
    <w:rsid w:val="00B7242D"/>
    <w:rsid w:val="00B7290B"/>
    <w:rsid w:val="00B72E93"/>
    <w:rsid w:val="00B74892"/>
    <w:rsid w:val="00B755E4"/>
    <w:rsid w:val="00B75CCD"/>
    <w:rsid w:val="00B75F11"/>
    <w:rsid w:val="00B7707A"/>
    <w:rsid w:val="00B77AA4"/>
    <w:rsid w:val="00B80D0A"/>
    <w:rsid w:val="00B81BD0"/>
    <w:rsid w:val="00B829D6"/>
    <w:rsid w:val="00B829D9"/>
    <w:rsid w:val="00B8370F"/>
    <w:rsid w:val="00B83A55"/>
    <w:rsid w:val="00B84CBA"/>
    <w:rsid w:val="00B84E00"/>
    <w:rsid w:val="00B85A11"/>
    <w:rsid w:val="00B86799"/>
    <w:rsid w:val="00B86987"/>
    <w:rsid w:val="00B876BD"/>
    <w:rsid w:val="00B87888"/>
    <w:rsid w:val="00B87D5E"/>
    <w:rsid w:val="00B9129D"/>
    <w:rsid w:val="00B92D52"/>
    <w:rsid w:val="00B932BE"/>
    <w:rsid w:val="00B944CB"/>
    <w:rsid w:val="00B95324"/>
    <w:rsid w:val="00B969AF"/>
    <w:rsid w:val="00B96ED0"/>
    <w:rsid w:val="00B979FB"/>
    <w:rsid w:val="00BA008F"/>
    <w:rsid w:val="00BA0496"/>
    <w:rsid w:val="00BA2022"/>
    <w:rsid w:val="00BA25E7"/>
    <w:rsid w:val="00BA2F57"/>
    <w:rsid w:val="00BA39CB"/>
    <w:rsid w:val="00BA3C1B"/>
    <w:rsid w:val="00BA688A"/>
    <w:rsid w:val="00BB091E"/>
    <w:rsid w:val="00BB0EBC"/>
    <w:rsid w:val="00BB100C"/>
    <w:rsid w:val="00BB1A9F"/>
    <w:rsid w:val="00BB1F1A"/>
    <w:rsid w:val="00BB2AE8"/>
    <w:rsid w:val="00BB4097"/>
    <w:rsid w:val="00BB4CA3"/>
    <w:rsid w:val="00BB4E2C"/>
    <w:rsid w:val="00BB6022"/>
    <w:rsid w:val="00BB6237"/>
    <w:rsid w:val="00BB714F"/>
    <w:rsid w:val="00BB7A9D"/>
    <w:rsid w:val="00BB7AB9"/>
    <w:rsid w:val="00BC059C"/>
    <w:rsid w:val="00BC1633"/>
    <w:rsid w:val="00BC1DED"/>
    <w:rsid w:val="00BC376C"/>
    <w:rsid w:val="00BC4191"/>
    <w:rsid w:val="00BC43B2"/>
    <w:rsid w:val="00BC567F"/>
    <w:rsid w:val="00BC6ABB"/>
    <w:rsid w:val="00BD00B3"/>
    <w:rsid w:val="00BD0405"/>
    <w:rsid w:val="00BD10A4"/>
    <w:rsid w:val="00BD1249"/>
    <w:rsid w:val="00BD3420"/>
    <w:rsid w:val="00BD3A57"/>
    <w:rsid w:val="00BD3A8F"/>
    <w:rsid w:val="00BD4959"/>
    <w:rsid w:val="00BD51F8"/>
    <w:rsid w:val="00BD52C3"/>
    <w:rsid w:val="00BD5CC4"/>
    <w:rsid w:val="00BD6910"/>
    <w:rsid w:val="00BD7889"/>
    <w:rsid w:val="00BD795C"/>
    <w:rsid w:val="00BE11C1"/>
    <w:rsid w:val="00BE11E2"/>
    <w:rsid w:val="00BE20DD"/>
    <w:rsid w:val="00BE2A98"/>
    <w:rsid w:val="00BE2CC3"/>
    <w:rsid w:val="00BE397F"/>
    <w:rsid w:val="00BE39AB"/>
    <w:rsid w:val="00BE3A21"/>
    <w:rsid w:val="00BE3E5C"/>
    <w:rsid w:val="00BE3F7B"/>
    <w:rsid w:val="00BE4709"/>
    <w:rsid w:val="00BE5C68"/>
    <w:rsid w:val="00BE5F04"/>
    <w:rsid w:val="00BE60C0"/>
    <w:rsid w:val="00BE6918"/>
    <w:rsid w:val="00BE7834"/>
    <w:rsid w:val="00BE7DA0"/>
    <w:rsid w:val="00BF03ED"/>
    <w:rsid w:val="00BF0756"/>
    <w:rsid w:val="00BF16A5"/>
    <w:rsid w:val="00BF19ED"/>
    <w:rsid w:val="00BF302E"/>
    <w:rsid w:val="00BF444F"/>
    <w:rsid w:val="00BF5AC8"/>
    <w:rsid w:val="00BF687D"/>
    <w:rsid w:val="00BF6A0A"/>
    <w:rsid w:val="00BF7871"/>
    <w:rsid w:val="00BF78B6"/>
    <w:rsid w:val="00BF7C50"/>
    <w:rsid w:val="00C00604"/>
    <w:rsid w:val="00C00BB1"/>
    <w:rsid w:val="00C011D9"/>
    <w:rsid w:val="00C0134E"/>
    <w:rsid w:val="00C018D6"/>
    <w:rsid w:val="00C01DD2"/>
    <w:rsid w:val="00C01DEE"/>
    <w:rsid w:val="00C02C69"/>
    <w:rsid w:val="00C03C55"/>
    <w:rsid w:val="00C03DEB"/>
    <w:rsid w:val="00C04B95"/>
    <w:rsid w:val="00C0691B"/>
    <w:rsid w:val="00C06A73"/>
    <w:rsid w:val="00C06D56"/>
    <w:rsid w:val="00C103F3"/>
    <w:rsid w:val="00C10890"/>
    <w:rsid w:val="00C111DF"/>
    <w:rsid w:val="00C12836"/>
    <w:rsid w:val="00C12AE5"/>
    <w:rsid w:val="00C15721"/>
    <w:rsid w:val="00C1594C"/>
    <w:rsid w:val="00C15B5D"/>
    <w:rsid w:val="00C16501"/>
    <w:rsid w:val="00C171C1"/>
    <w:rsid w:val="00C172A3"/>
    <w:rsid w:val="00C175AD"/>
    <w:rsid w:val="00C178DE"/>
    <w:rsid w:val="00C201B0"/>
    <w:rsid w:val="00C20202"/>
    <w:rsid w:val="00C20C6C"/>
    <w:rsid w:val="00C2172B"/>
    <w:rsid w:val="00C21B3E"/>
    <w:rsid w:val="00C2438E"/>
    <w:rsid w:val="00C245C7"/>
    <w:rsid w:val="00C24F1E"/>
    <w:rsid w:val="00C30129"/>
    <w:rsid w:val="00C30779"/>
    <w:rsid w:val="00C30965"/>
    <w:rsid w:val="00C319AE"/>
    <w:rsid w:val="00C326A9"/>
    <w:rsid w:val="00C327A5"/>
    <w:rsid w:val="00C331AB"/>
    <w:rsid w:val="00C3347F"/>
    <w:rsid w:val="00C334EC"/>
    <w:rsid w:val="00C33CA9"/>
    <w:rsid w:val="00C351C8"/>
    <w:rsid w:val="00C368CD"/>
    <w:rsid w:val="00C3691C"/>
    <w:rsid w:val="00C408D7"/>
    <w:rsid w:val="00C4202F"/>
    <w:rsid w:val="00C43B4C"/>
    <w:rsid w:val="00C448CB"/>
    <w:rsid w:val="00C46FCC"/>
    <w:rsid w:val="00C47770"/>
    <w:rsid w:val="00C47A28"/>
    <w:rsid w:val="00C5001D"/>
    <w:rsid w:val="00C50051"/>
    <w:rsid w:val="00C530D0"/>
    <w:rsid w:val="00C531E1"/>
    <w:rsid w:val="00C556D8"/>
    <w:rsid w:val="00C57293"/>
    <w:rsid w:val="00C5793D"/>
    <w:rsid w:val="00C60BB3"/>
    <w:rsid w:val="00C61089"/>
    <w:rsid w:val="00C6184B"/>
    <w:rsid w:val="00C61D2A"/>
    <w:rsid w:val="00C61E0C"/>
    <w:rsid w:val="00C63245"/>
    <w:rsid w:val="00C63718"/>
    <w:rsid w:val="00C63B62"/>
    <w:rsid w:val="00C63D2E"/>
    <w:rsid w:val="00C63DE0"/>
    <w:rsid w:val="00C64045"/>
    <w:rsid w:val="00C6499B"/>
    <w:rsid w:val="00C64B01"/>
    <w:rsid w:val="00C64BBF"/>
    <w:rsid w:val="00C64E87"/>
    <w:rsid w:val="00C65AA1"/>
    <w:rsid w:val="00C65B5A"/>
    <w:rsid w:val="00C669CB"/>
    <w:rsid w:val="00C674AA"/>
    <w:rsid w:val="00C67BA1"/>
    <w:rsid w:val="00C71406"/>
    <w:rsid w:val="00C71E75"/>
    <w:rsid w:val="00C73CD4"/>
    <w:rsid w:val="00C763B8"/>
    <w:rsid w:val="00C76A40"/>
    <w:rsid w:val="00C77746"/>
    <w:rsid w:val="00C77797"/>
    <w:rsid w:val="00C805AD"/>
    <w:rsid w:val="00C8097A"/>
    <w:rsid w:val="00C80A70"/>
    <w:rsid w:val="00C82BD4"/>
    <w:rsid w:val="00C83CD2"/>
    <w:rsid w:val="00C84BD6"/>
    <w:rsid w:val="00C851C3"/>
    <w:rsid w:val="00C85683"/>
    <w:rsid w:val="00C857D1"/>
    <w:rsid w:val="00C874C4"/>
    <w:rsid w:val="00C924C3"/>
    <w:rsid w:val="00C92F1D"/>
    <w:rsid w:val="00C93513"/>
    <w:rsid w:val="00C93853"/>
    <w:rsid w:val="00C93B2E"/>
    <w:rsid w:val="00C947FA"/>
    <w:rsid w:val="00C94AB7"/>
    <w:rsid w:val="00C956C3"/>
    <w:rsid w:val="00C96948"/>
    <w:rsid w:val="00C96FD1"/>
    <w:rsid w:val="00C97639"/>
    <w:rsid w:val="00CA10B9"/>
    <w:rsid w:val="00CA1479"/>
    <w:rsid w:val="00CA2929"/>
    <w:rsid w:val="00CA3AB9"/>
    <w:rsid w:val="00CA610F"/>
    <w:rsid w:val="00CA6C84"/>
    <w:rsid w:val="00CA6FB1"/>
    <w:rsid w:val="00CB0014"/>
    <w:rsid w:val="00CB00AB"/>
    <w:rsid w:val="00CB016E"/>
    <w:rsid w:val="00CB125B"/>
    <w:rsid w:val="00CB25A1"/>
    <w:rsid w:val="00CB2FDF"/>
    <w:rsid w:val="00CB3794"/>
    <w:rsid w:val="00CB3B59"/>
    <w:rsid w:val="00CB4085"/>
    <w:rsid w:val="00CB47DE"/>
    <w:rsid w:val="00CB552A"/>
    <w:rsid w:val="00CB6486"/>
    <w:rsid w:val="00CB699D"/>
    <w:rsid w:val="00CB69E3"/>
    <w:rsid w:val="00CB79DB"/>
    <w:rsid w:val="00CB7BF3"/>
    <w:rsid w:val="00CC045C"/>
    <w:rsid w:val="00CC0C77"/>
    <w:rsid w:val="00CC175A"/>
    <w:rsid w:val="00CC1B97"/>
    <w:rsid w:val="00CC2245"/>
    <w:rsid w:val="00CC29D6"/>
    <w:rsid w:val="00CC30C2"/>
    <w:rsid w:val="00CC476A"/>
    <w:rsid w:val="00CC5CD8"/>
    <w:rsid w:val="00CC5EE7"/>
    <w:rsid w:val="00CC62EB"/>
    <w:rsid w:val="00CC787D"/>
    <w:rsid w:val="00CC7F47"/>
    <w:rsid w:val="00CD11F4"/>
    <w:rsid w:val="00CD1F4F"/>
    <w:rsid w:val="00CD2159"/>
    <w:rsid w:val="00CD2300"/>
    <w:rsid w:val="00CD2D8C"/>
    <w:rsid w:val="00CD354F"/>
    <w:rsid w:val="00CD3E10"/>
    <w:rsid w:val="00CD4D45"/>
    <w:rsid w:val="00CD56FF"/>
    <w:rsid w:val="00CD5CC7"/>
    <w:rsid w:val="00CD5D21"/>
    <w:rsid w:val="00CD78E1"/>
    <w:rsid w:val="00CD79CA"/>
    <w:rsid w:val="00CD7C01"/>
    <w:rsid w:val="00CE178D"/>
    <w:rsid w:val="00CE1B20"/>
    <w:rsid w:val="00CE2B92"/>
    <w:rsid w:val="00CE4F24"/>
    <w:rsid w:val="00CE5AD1"/>
    <w:rsid w:val="00CE6281"/>
    <w:rsid w:val="00CE671F"/>
    <w:rsid w:val="00CE76CB"/>
    <w:rsid w:val="00CE7F70"/>
    <w:rsid w:val="00CF0568"/>
    <w:rsid w:val="00CF0D27"/>
    <w:rsid w:val="00CF0FD2"/>
    <w:rsid w:val="00CF17EF"/>
    <w:rsid w:val="00CF1C03"/>
    <w:rsid w:val="00CF1F5F"/>
    <w:rsid w:val="00CF3328"/>
    <w:rsid w:val="00CF34F5"/>
    <w:rsid w:val="00CF3570"/>
    <w:rsid w:val="00CF35B5"/>
    <w:rsid w:val="00CF36EE"/>
    <w:rsid w:val="00CF4628"/>
    <w:rsid w:val="00CF47D1"/>
    <w:rsid w:val="00CF5045"/>
    <w:rsid w:val="00CF6E5E"/>
    <w:rsid w:val="00CF6F60"/>
    <w:rsid w:val="00CF7767"/>
    <w:rsid w:val="00D000AC"/>
    <w:rsid w:val="00D004E7"/>
    <w:rsid w:val="00D00C49"/>
    <w:rsid w:val="00D01D32"/>
    <w:rsid w:val="00D02073"/>
    <w:rsid w:val="00D03476"/>
    <w:rsid w:val="00D0554E"/>
    <w:rsid w:val="00D05E4F"/>
    <w:rsid w:val="00D06816"/>
    <w:rsid w:val="00D10368"/>
    <w:rsid w:val="00D10B35"/>
    <w:rsid w:val="00D1208D"/>
    <w:rsid w:val="00D12AB4"/>
    <w:rsid w:val="00D12FDC"/>
    <w:rsid w:val="00D13024"/>
    <w:rsid w:val="00D13EA3"/>
    <w:rsid w:val="00D13EE0"/>
    <w:rsid w:val="00D15866"/>
    <w:rsid w:val="00D15C3A"/>
    <w:rsid w:val="00D1798C"/>
    <w:rsid w:val="00D2083A"/>
    <w:rsid w:val="00D21B6C"/>
    <w:rsid w:val="00D22ADF"/>
    <w:rsid w:val="00D22EE5"/>
    <w:rsid w:val="00D22EFA"/>
    <w:rsid w:val="00D22F6E"/>
    <w:rsid w:val="00D24202"/>
    <w:rsid w:val="00D246E2"/>
    <w:rsid w:val="00D25459"/>
    <w:rsid w:val="00D25A6D"/>
    <w:rsid w:val="00D26E34"/>
    <w:rsid w:val="00D26F3A"/>
    <w:rsid w:val="00D273DA"/>
    <w:rsid w:val="00D27AA0"/>
    <w:rsid w:val="00D27E4B"/>
    <w:rsid w:val="00D30323"/>
    <w:rsid w:val="00D321ED"/>
    <w:rsid w:val="00D3292C"/>
    <w:rsid w:val="00D32EED"/>
    <w:rsid w:val="00D33B9E"/>
    <w:rsid w:val="00D33C83"/>
    <w:rsid w:val="00D3461E"/>
    <w:rsid w:val="00D35B20"/>
    <w:rsid w:val="00D3685E"/>
    <w:rsid w:val="00D407A8"/>
    <w:rsid w:val="00D40C69"/>
    <w:rsid w:val="00D415AF"/>
    <w:rsid w:val="00D41651"/>
    <w:rsid w:val="00D41A31"/>
    <w:rsid w:val="00D41FBE"/>
    <w:rsid w:val="00D425A3"/>
    <w:rsid w:val="00D43A3E"/>
    <w:rsid w:val="00D43EEC"/>
    <w:rsid w:val="00D44793"/>
    <w:rsid w:val="00D449C1"/>
    <w:rsid w:val="00D44DE4"/>
    <w:rsid w:val="00D4534A"/>
    <w:rsid w:val="00D46146"/>
    <w:rsid w:val="00D4678A"/>
    <w:rsid w:val="00D46A3D"/>
    <w:rsid w:val="00D47AB4"/>
    <w:rsid w:val="00D50DE4"/>
    <w:rsid w:val="00D50EAD"/>
    <w:rsid w:val="00D51304"/>
    <w:rsid w:val="00D519C3"/>
    <w:rsid w:val="00D52408"/>
    <w:rsid w:val="00D52509"/>
    <w:rsid w:val="00D52922"/>
    <w:rsid w:val="00D53BC8"/>
    <w:rsid w:val="00D556EE"/>
    <w:rsid w:val="00D56E07"/>
    <w:rsid w:val="00D56E29"/>
    <w:rsid w:val="00D5776F"/>
    <w:rsid w:val="00D57D5F"/>
    <w:rsid w:val="00D6060A"/>
    <w:rsid w:val="00D6271C"/>
    <w:rsid w:val="00D637A0"/>
    <w:rsid w:val="00D63E07"/>
    <w:rsid w:val="00D63E4E"/>
    <w:rsid w:val="00D64E13"/>
    <w:rsid w:val="00D65489"/>
    <w:rsid w:val="00D65B4A"/>
    <w:rsid w:val="00D65F93"/>
    <w:rsid w:val="00D66228"/>
    <w:rsid w:val="00D66ADD"/>
    <w:rsid w:val="00D66EB9"/>
    <w:rsid w:val="00D6714A"/>
    <w:rsid w:val="00D70789"/>
    <w:rsid w:val="00D7435A"/>
    <w:rsid w:val="00D7606A"/>
    <w:rsid w:val="00D77070"/>
    <w:rsid w:val="00D77231"/>
    <w:rsid w:val="00D82CD9"/>
    <w:rsid w:val="00D82E21"/>
    <w:rsid w:val="00D832FF"/>
    <w:rsid w:val="00D83EFB"/>
    <w:rsid w:val="00D86771"/>
    <w:rsid w:val="00D86AF3"/>
    <w:rsid w:val="00D915DE"/>
    <w:rsid w:val="00D917FE"/>
    <w:rsid w:val="00D918BE"/>
    <w:rsid w:val="00D92587"/>
    <w:rsid w:val="00D92643"/>
    <w:rsid w:val="00D9285D"/>
    <w:rsid w:val="00D9310F"/>
    <w:rsid w:val="00D93508"/>
    <w:rsid w:val="00D94465"/>
    <w:rsid w:val="00D951A9"/>
    <w:rsid w:val="00D95BBF"/>
    <w:rsid w:val="00D95CB8"/>
    <w:rsid w:val="00D95F6D"/>
    <w:rsid w:val="00D96A48"/>
    <w:rsid w:val="00D97105"/>
    <w:rsid w:val="00D9787C"/>
    <w:rsid w:val="00D978F9"/>
    <w:rsid w:val="00D97F67"/>
    <w:rsid w:val="00DA0637"/>
    <w:rsid w:val="00DA1B3A"/>
    <w:rsid w:val="00DA2BAC"/>
    <w:rsid w:val="00DA408F"/>
    <w:rsid w:val="00DA6740"/>
    <w:rsid w:val="00DA6ACB"/>
    <w:rsid w:val="00DB0161"/>
    <w:rsid w:val="00DB07CC"/>
    <w:rsid w:val="00DB526D"/>
    <w:rsid w:val="00DB584F"/>
    <w:rsid w:val="00DB5B2D"/>
    <w:rsid w:val="00DB5CD9"/>
    <w:rsid w:val="00DB673C"/>
    <w:rsid w:val="00DB6A6F"/>
    <w:rsid w:val="00DC0185"/>
    <w:rsid w:val="00DC0351"/>
    <w:rsid w:val="00DC1350"/>
    <w:rsid w:val="00DC2105"/>
    <w:rsid w:val="00DC2FAF"/>
    <w:rsid w:val="00DC421F"/>
    <w:rsid w:val="00DC4605"/>
    <w:rsid w:val="00DC4E23"/>
    <w:rsid w:val="00DC54E8"/>
    <w:rsid w:val="00DC7A82"/>
    <w:rsid w:val="00DC7D6E"/>
    <w:rsid w:val="00DD05AA"/>
    <w:rsid w:val="00DD0C42"/>
    <w:rsid w:val="00DD2025"/>
    <w:rsid w:val="00DD25F5"/>
    <w:rsid w:val="00DD28FC"/>
    <w:rsid w:val="00DD2A00"/>
    <w:rsid w:val="00DD2ADD"/>
    <w:rsid w:val="00DD3AD8"/>
    <w:rsid w:val="00DD4288"/>
    <w:rsid w:val="00DD4511"/>
    <w:rsid w:val="00DD4B3C"/>
    <w:rsid w:val="00DD537E"/>
    <w:rsid w:val="00DD6F13"/>
    <w:rsid w:val="00DD76BA"/>
    <w:rsid w:val="00DD7C5D"/>
    <w:rsid w:val="00DE0D7D"/>
    <w:rsid w:val="00DE1121"/>
    <w:rsid w:val="00DE166C"/>
    <w:rsid w:val="00DE2071"/>
    <w:rsid w:val="00DE2B56"/>
    <w:rsid w:val="00DE2E56"/>
    <w:rsid w:val="00DE2FA7"/>
    <w:rsid w:val="00DE40B7"/>
    <w:rsid w:val="00DE43D7"/>
    <w:rsid w:val="00DE50CA"/>
    <w:rsid w:val="00DE51F8"/>
    <w:rsid w:val="00DE6F37"/>
    <w:rsid w:val="00DE769D"/>
    <w:rsid w:val="00DF10AD"/>
    <w:rsid w:val="00DF1F93"/>
    <w:rsid w:val="00DF2551"/>
    <w:rsid w:val="00DF27F4"/>
    <w:rsid w:val="00DF3F1A"/>
    <w:rsid w:val="00DF4075"/>
    <w:rsid w:val="00DF42EB"/>
    <w:rsid w:val="00DF45D7"/>
    <w:rsid w:val="00DF5006"/>
    <w:rsid w:val="00DF5898"/>
    <w:rsid w:val="00DF5C47"/>
    <w:rsid w:val="00DF6660"/>
    <w:rsid w:val="00DF7CAC"/>
    <w:rsid w:val="00E01447"/>
    <w:rsid w:val="00E01CD5"/>
    <w:rsid w:val="00E01EBA"/>
    <w:rsid w:val="00E028FA"/>
    <w:rsid w:val="00E02DFC"/>
    <w:rsid w:val="00E03500"/>
    <w:rsid w:val="00E06446"/>
    <w:rsid w:val="00E06F65"/>
    <w:rsid w:val="00E07077"/>
    <w:rsid w:val="00E103A7"/>
    <w:rsid w:val="00E10BA3"/>
    <w:rsid w:val="00E1114F"/>
    <w:rsid w:val="00E11194"/>
    <w:rsid w:val="00E12939"/>
    <w:rsid w:val="00E13409"/>
    <w:rsid w:val="00E137C8"/>
    <w:rsid w:val="00E1490A"/>
    <w:rsid w:val="00E14EFA"/>
    <w:rsid w:val="00E15512"/>
    <w:rsid w:val="00E15556"/>
    <w:rsid w:val="00E157DE"/>
    <w:rsid w:val="00E16901"/>
    <w:rsid w:val="00E1763C"/>
    <w:rsid w:val="00E20020"/>
    <w:rsid w:val="00E20029"/>
    <w:rsid w:val="00E203BC"/>
    <w:rsid w:val="00E20C33"/>
    <w:rsid w:val="00E227FB"/>
    <w:rsid w:val="00E228FF"/>
    <w:rsid w:val="00E22D60"/>
    <w:rsid w:val="00E23663"/>
    <w:rsid w:val="00E23815"/>
    <w:rsid w:val="00E239D3"/>
    <w:rsid w:val="00E2512F"/>
    <w:rsid w:val="00E27462"/>
    <w:rsid w:val="00E27946"/>
    <w:rsid w:val="00E279C5"/>
    <w:rsid w:val="00E27A9A"/>
    <w:rsid w:val="00E32523"/>
    <w:rsid w:val="00E3516E"/>
    <w:rsid w:val="00E352B7"/>
    <w:rsid w:val="00E3530F"/>
    <w:rsid w:val="00E35A16"/>
    <w:rsid w:val="00E35B7A"/>
    <w:rsid w:val="00E37596"/>
    <w:rsid w:val="00E405E2"/>
    <w:rsid w:val="00E4078D"/>
    <w:rsid w:val="00E40E34"/>
    <w:rsid w:val="00E41B29"/>
    <w:rsid w:val="00E42527"/>
    <w:rsid w:val="00E428AD"/>
    <w:rsid w:val="00E42D33"/>
    <w:rsid w:val="00E431F1"/>
    <w:rsid w:val="00E43B45"/>
    <w:rsid w:val="00E43D44"/>
    <w:rsid w:val="00E43D8D"/>
    <w:rsid w:val="00E453AD"/>
    <w:rsid w:val="00E46200"/>
    <w:rsid w:val="00E46857"/>
    <w:rsid w:val="00E477B1"/>
    <w:rsid w:val="00E5006E"/>
    <w:rsid w:val="00E524EB"/>
    <w:rsid w:val="00E5299F"/>
    <w:rsid w:val="00E529B1"/>
    <w:rsid w:val="00E5404E"/>
    <w:rsid w:val="00E54A3B"/>
    <w:rsid w:val="00E55170"/>
    <w:rsid w:val="00E55895"/>
    <w:rsid w:val="00E56C54"/>
    <w:rsid w:val="00E57693"/>
    <w:rsid w:val="00E600C7"/>
    <w:rsid w:val="00E61F08"/>
    <w:rsid w:val="00E62671"/>
    <w:rsid w:val="00E62FEA"/>
    <w:rsid w:val="00E639B1"/>
    <w:rsid w:val="00E63A2C"/>
    <w:rsid w:val="00E64501"/>
    <w:rsid w:val="00E649F3"/>
    <w:rsid w:val="00E66F7B"/>
    <w:rsid w:val="00E672C1"/>
    <w:rsid w:val="00E673B4"/>
    <w:rsid w:val="00E70FF5"/>
    <w:rsid w:val="00E72235"/>
    <w:rsid w:val="00E75014"/>
    <w:rsid w:val="00E75D06"/>
    <w:rsid w:val="00E80E28"/>
    <w:rsid w:val="00E811D9"/>
    <w:rsid w:val="00E82096"/>
    <w:rsid w:val="00E862F8"/>
    <w:rsid w:val="00E87D6F"/>
    <w:rsid w:val="00E87D9A"/>
    <w:rsid w:val="00E908B0"/>
    <w:rsid w:val="00E91182"/>
    <w:rsid w:val="00E921EB"/>
    <w:rsid w:val="00E92340"/>
    <w:rsid w:val="00E926AF"/>
    <w:rsid w:val="00E928E4"/>
    <w:rsid w:val="00E93D72"/>
    <w:rsid w:val="00E94DC6"/>
    <w:rsid w:val="00E95F1A"/>
    <w:rsid w:val="00EA0763"/>
    <w:rsid w:val="00EA0BC6"/>
    <w:rsid w:val="00EA0D94"/>
    <w:rsid w:val="00EA1309"/>
    <w:rsid w:val="00EA145E"/>
    <w:rsid w:val="00EA3386"/>
    <w:rsid w:val="00EA364C"/>
    <w:rsid w:val="00EA3BC4"/>
    <w:rsid w:val="00EA483A"/>
    <w:rsid w:val="00EA4885"/>
    <w:rsid w:val="00EA4C67"/>
    <w:rsid w:val="00EA4D5D"/>
    <w:rsid w:val="00EB0DAB"/>
    <w:rsid w:val="00EB124D"/>
    <w:rsid w:val="00EB2F88"/>
    <w:rsid w:val="00EB418E"/>
    <w:rsid w:val="00EB446B"/>
    <w:rsid w:val="00EB6445"/>
    <w:rsid w:val="00EB72AD"/>
    <w:rsid w:val="00EC1F2C"/>
    <w:rsid w:val="00EC1F82"/>
    <w:rsid w:val="00EC2B5B"/>
    <w:rsid w:val="00EC34AB"/>
    <w:rsid w:val="00EC4579"/>
    <w:rsid w:val="00EC5069"/>
    <w:rsid w:val="00EC55D5"/>
    <w:rsid w:val="00EC5961"/>
    <w:rsid w:val="00EC5D2F"/>
    <w:rsid w:val="00EC5D41"/>
    <w:rsid w:val="00EC6143"/>
    <w:rsid w:val="00EC715D"/>
    <w:rsid w:val="00EC75FE"/>
    <w:rsid w:val="00ED051E"/>
    <w:rsid w:val="00ED0BC8"/>
    <w:rsid w:val="00ED1A88"/>
    <w:rsid w:val="00ED2B57"/>
    <w:rsid w:val="00ED2BBA"/>
    <w:rsid w:val="00ED3DAC"/>
    <w:rsid w:val="00ED3FDA"/>
    <w:rsid w:val="00ED6250"/>
    <w:rsid w:val="00EE0AE1"/>
    <w:rsid w:val="00EE1424"/>
    <w:rsid w:val="00EE194E"/>
    <w:rsid w:val="00EE197B"/>
    <w:rsid w:val="00EE2446"/>
    <w:rsid w:val="00EE2766"/>
    <w:rsid w:val="00EE2919"/>
    <w:rsid w:val="00EE2931"/>
    <w:rsid w:val="00EE2BED"/>
    <w:rsid w:val="00EE33C5"/>
    <w:rsid w:val="00EE458B"/>
    <w:rsid w:val="00EE480D"/>
    <w:rsid w:val="00EE5D29"/>
    <w:rsid w:val="00EE5DAE"/>
    <w:rsid w:val="00EE6485"/>
    <w:rsid w:val="00EE781F"/>
    <w:rsid w:val="00EE7F1C"/>
    <w:rsid w:val="00EF046B"/>
    <w:rsid w:val="00EF10AC"/>
    <w:rsid w:val="00EF110B"/>
    <w:rsid w:val="00EF15AC"/>
    <w:rsid w:val="00EF171C"/>
    <w:rsid w:val="00EF3820"/>
    <w:rsid w:val="00EF4FEF"/>
    <w:rsid w:val="00EF674A"/>
    <w:rsid w:val="00EF781C"/>
    <w:rsid w:val="00F00B22"/>
    <w:rsid w:val="00F029AC"/>
    <w:rsid w:val="00F03580"/>
    <w:rsid w:val="00F0418B"/>
    <w:rsid w:val="00F04580"/>
    <w:rsid w:val="00F04BF4"/>
    <w:rsid w:val="00F054D4"/>
    <w:rsid w:val="00F06519"/>
    <w:rsid w:val="00F07E1B"/>
    <w:rsid w:val="00F07FFB"/>
    <w:rsid w:val="00F10489"/>
    <w:rsid w:val="00F10EEE"/>
    <w:rsid w:val="00F11039"/>
    <w:rsid w:val="00F122A3"/>
    <w:rsid w:val="00F1239C"/>
    <w:rsid w:val="00F13822"/>
    <w:rsid w:val="00F13E35"/>
    <w:rsid w:val="00F140B0"/>
    <w:rsid w:val="00F158FD"/>
    <w:rsid w:val="00F163EB"/>
    <w:rsid w:val="00F16F33"/>
    <w:rsid w:val="00F16FD5"/>
    <w:rsid w:val="00F17C17"/>
    <w:rsid w:val="00F202D8"/>
    <w:rsid w:val="00F20740"/>
    <w:rsid w:val="00F2151C"/>
    <w:rsid w:val="00F21DBA"/>
    <w:rsid w:val="00F22143"/>
    <w:rsid w:val="00F24833"/>
    <w:rsid w:val="00F248DE"/>
    <w:rsid w:val="00F251F9"/>
    <w:rsid w:val="00F25B31"/>
    <w:rsid w:val="00F268DB"/>
    <w:rsid w:val="00F27050"/>
    <w:rsid w:val="00F27564"/>
    <w:rsid w:val="00F27850"/>
    <w:rsid w:val="00F30DDA"/>
    <w:rsid w:val="00F312E1"/>
    <w:rsid w:val="00F3159E"/>
    <w:rsid w:val="00F31897"/>
    <w:rsid w:val="00F31C11"/>
    <w:rsid w:val="00F32E64"/>
    <w:rsid w:val="00F33546"/>
    <w:rsid w:val="00F33A7F"/>
    <w:rsid w:val="00F353D0"/>
    <w:rsid w:val="00F35453"/>
    <w:rsid w:val="00F3648D"/>
    <w:rsid w:val="00F40477"/>
    <w:rsid w:val="00F4058A"/>
    <w:rsid w:val="00F40CA9"/>
    <w:rsid w:val="00F41E6A"/>
    <w:rsid w:val="00F43F5B"/>
    <w:rsid w:val="00F4467B"/>
    <w:rsid w:val="00F44C96"/>
    <w:rsid w:val="00F44D64"/>
    <w:rsid w:val="00F46546"/>
    <w:rsid w:val="00F46D9E"/>
    <w:rsid w:val="00F476CA"/>
    <w:rsid w:val="00F47CAD"/>
    <w:rsid w:val="00F50070"/>
    <w:rsid w:val="00F504B5"/>
    <w:rsid w:val="00F5094C"/>
    <w:rsid w:val="00F51B17"/>
    <w:rsid w:val="00F51D61"/>
    <w:rsid w:val="00F52623"/>
    <w:rsid w:val="00F52A28"/>
    <w:rsid w:val="00F53C55"/>
    <w:rsid w:val="00F54B89"/>
    <w:rsid w:val="00F5530B"/>
    <w:rsid w:val="00F558F7"/>
    <w:rsid w:val="00F569F6"/>
    <w:rsid w:val="00F57B9F"/>
    <w:rsid w:val="00F612F8"/>
    <w:rsid w:val="00F6168A"/>
    <w:rsid w:val="00F61929"/>
    <w:rsid w:val="00F62476"/>
    <w:rsid w:val="00F63A70"/>
    <w:rsid w:val="00F64099"/>
    <w:rsid w:val="00F6415F"/>
    <w:rsid w:val="00F6632F"/>
    <w:rsid w:val="00F66953"/>
    <w:rsid w:val="00F66C85"/>
    <w:rsid w:val="00F66D94"/>
    <w:rsid w:val="00F66E2B"/>
    <w:rsid w:val="00F66F4E"/>
    <w:rsid w:val="00F67C10"/>
    <w:rsid w:val="00F700B0"/>
    <w:rsid w:val="00F70B63"/>
    <w:rsid w:val="00F70F1B"/>
    <w:rsid w:val="00F73762"/>
    <w:rsid w:val="00F7406C"/>
    <w:rsid w:val="00F7410C"/>
    <w:rsid w:val="00F76984"/>
    <w:rsid w:val="00F77749"/>
    <w:rsid w:val="00F800B3"/>
    <w:rsid w:val="00F8077B"/>
    <w:rsid w:val="00F81A3D"/>
    <w:rsid w:val="00F82C42"/>
    <w:rsid w:val="00F830FC"/>
    <w:rsid w:val="00F83DC1"/>
    <w:rsid w:val="00F83FB7"/>
    <w:rsid w:val="00F8464B"/>
    <w:rsid w:val="00F85508"/>
    <w:rsid w:val="00F85989"/>
    <w:rsid w:val="00F85D10"/>
    <w:rsid w:val="00F86F36"/>
    <w:rsid w:val="00F87C44"/>
    <w:rsid w:val="00F902F2"/>
    <w:rsid w:val="00F92380"/>
    <w:rsid w:val="00F9291C"/>
    <w:rsid w:val="00F93451"/>
    <w:rsid w:val="00F93D68"/>
    <w:rsid w:val="00F94B30"/>
    <w:rsid w:val="00F95642"/>
    <w:rsid w:val="00F95B31"/>
    <w:rsid w:val="00F95D89"/>
    <w:rsid w:val="00F95FC1"/>
    <w:rsid w:val="00F970F9"/>
    <w:rsid w:val="00FA178C"/>
    <w:rsid w:val="00FA18D8"/>
    <w:rsid w:val="00FA4775"/>
    <w:rsid w:val="00FA491B"/>
    <w:rsid w:val="00FA5730"/>
    <w:rsid w:val="00FA6413"/>
    <w:rsid w:val="00FA708D"/>
    <w:rsid w:val="00FA7B16"/>
    <w:rsid w:val="00FB1100"/>
    <w:rsid w:val="00FB17D5"/>
    <w:rsid w:val="00FB2722"/>
    <w:rsid w:val="00FB5211"/>
    <w:rsid w:val="00FB5695"/>
    <w:rsid w:val="00FB5CB5"/>
    <w:rsid w:val="00FB5D8E"/>
    <w:rsid w:val="00FB7B4B"/>
    <w:rsid w:val="00FB7B74"/>
    <w:rsid w:val="00FB7C70"/>
    <w:rsid w:val="00FB7DEB"/>
    <w:rsid w:val="00FB7F0B"/>
    <w:rsid w:val="00FC0411"/>
    <w:rsid w:val="00FC1243"/>
    <w:rsid w:val="00FC2A40"/>
    <w:rsid w:val="00FC3C20"/>
    <w:rsid w:val="00FC4D3A"/>
    <w:rsid w:val="00FC4E66"/>
    <w:rsid w:val="00FC581A"/>
    <w:rsid w:val="00FC653D"/>
    <w:rsid w:val="00FC65E3"/>
    <w:rsid w:val="00FD00FB"/>
    <w:rsid w:val="00FD1C19"/>
    <w:rsid w:val="00FD23C3"/>
    <w:rsid w:val="00FD2710"/>
    <w:rsid w:val="00FD5115"/>
    <w:rsid w:val="00FD5362"/>
    <w:rsid w:val="00FD5CAE"/>
    <w:rsid w:val="00FD6176"/>
    <w:rsid w:val="00FD6368"/>
    <w:rsid w:val="00FD6B66"/>
    <w:rsid w:val="00FD6C19"/>
    <w:rsid w:val="00FD73E5"/>
    <w:rsid w:val="00FD79F8"/>
    <w:rsid w:val="00FE0FC8"/>
    <w:rsid w:val="00FE2B06"/>
    <w:rsid w:val="00FE2B20"/>
    <w:rsid w:val="00FE339D"/>
    <w:rsid w:val="00FE43D7"/>
    <w:rsid w:val="00FE4B29"/>
    <w:rsid w:val="00FE4D56"/>
    <w:rsid w:val="00FE5223"/>
    <w:rsid w:val="00FE6DB9"/>
    <w:rsid w:val="00FE710D"/>
    <w:rsid w:val="00FE7816"/>
    <w:rsid w:val="00FE7935"/>
    <w:rsid w:val="00FE7983"/>
    <w:rsid w:val="00FF015B"/>
    <w:rsid w:val="00FF140E"/>
    <w:rsid w:val="00FF3F28"/>
    <w:rsid w:val="00FF492C"/>
    <w:rsid w:val="00FF5ED4"/>
    <w:rsid w:val="00FF6926"/>
    <w:rsid w:val="00FF7BDF"/>
    <w:rsid w:val="02727CE8"/>
    <w:rsid w:val="042B0B0A"/>
    <w:rsid w:val="05A61A1C"/>
    <w:rsid w:val="062056F7"/>
    <w:rsid w:val="0CB55E71"/>
    <w:rsid w:val="0DA65298"/>
    <w:rsid w:val="0F300F69"/>
    <w:rsid w:val="0FA482B9"/>
    <w:rsid w:val="174D54A9"/>
    <w:rsid w:val="1854A559"/>
    <w:rsid w:val="1AD5BE2F"/>
    <w:rsid w:val="1B9D287B"/>
    <w:rsid w:val="1C4D236F"/>
    <w:rsid w:val="1D032D22"/>
    <w:rsid w:val="1F07DCC3"/>
    <w:rsid w:val="1FDCF089"/>
    <w:rsid w:val="22FA34CB"/>
    <w:rsid w:val="233933D8"/>
    <w:rsid w:val="23D463E8"/>
    <w:rsid w:val="2AB56455"/>
    <w:rsid w:val="2CB6E2E7"/>
    <w:rsid w:val="2DAADA38"/>
    <w:rsid w:val="326D70D7"/>
    <w:rsid w:val="32AD0F45"/>
    <w:rsid w:val="34019802"/>
    <w:rsid w:val="35A8198D"/>
    <w:rsid w:val="36C43C0D"/>
    <w:rsid w:val="36E4C415"/>
    <w:rsid w:val="38744BAE"/>
    <w:rsid w:val="38FB3BE1"/>
    <w:rsid w:val="39308F6A"/>
    <w:rsid w:val="3A3F3BF8"/>
    <w:rsid w:val="3B07B253"/>
    <w:rsid w:val="417F694E"/>
    <w:rsid w:val="41822A67"/>
    <w:rsid w:val="4445F3DC"/>
    <w:rsid w:val="4D7216E9"/>
    <w:rsid w:val="4E24391D"/>
    <w:rsid w:val="564FD5DE"/>
    <w:rsid w:val="5B9AA320"/>
    <w:rsid w:val="5C2E5485"/>
    <w:rsid w:val="5D7E8032"/>
    <w:rsid w:val="5E082B69"/>
    <w:rsid w:val="611055FB"/>
    <w:rsid w:val="63A75930"/>
    <w:rsid w:val="6E4295E1"/>
    <w:rsid w:val="6E985B48"/>
    <w:rsid w:val="70546F85"/>
    <w:rsid w:val="77AA7585"/>
    <w:rsid w:val="79E64B5C"/>
    <w:rsid w:val="7DAEB304"/>
    <w:rsid w:val="7DF2074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3D56BFF5-564E-46F9-8165-EB60CE2D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885"/>
    <w:pPr>
      <w:spacing w:after="240" w:line="360" w:lineRule="auto"/>
    </w:pPr>
    <w:rPr>
      <w:rFonts w:ascii="Arial" w:hAnsi="Arial"/>
      <w:color w:val="000000" w:themeColor="text1"/>
      <w:sz w:val="24"/>
    </w:rPr>
  </w:style>
  <w:style w:type="paragraph" w:styleId="Heading1">
    <w:name w:val="heading 1"/>
    <w:basedOn w:val="Normal"/>
    <w:next w:val="Normal"/>
    <w:link w:val="Heading1Char"/>
    <w:uiPriority w:val="9"/>
    <w:qFormat/>
    <w:rsid w:val="008D784F"/>
    <w:pPr>
      <w:keepNext/>
      <w:keepLines/>
      <w:spacing w:before="480" w:after="360" w:line="240" w:lineRule="auto"/>
      <w:outlineLvl w:val="0"/>
    </w:pPr>
    <w:rPr>
      <w:rFonts w:eastAsiaTheme="majorEastAsia" w:cstheme="majorBidi"/>
      <w:color w:val="29797F"/>
      <w:sz w:val="72"/>
      <w:szCs w:val="32"/>
    </w:rPr>
  </w:style>
  <w:style w:type="paragraph" w:styleId="Heading2">
    <w:name w:val="heading 2"/>
    <w:basedOn w:val="Normal"/>
    <w:next w:val="Normal"/>
    <w:link w:val="Heading2Char"/>
    <w:uiPriority w:val="9"/>
    <w:qFormat/>
    <w:rsid w:val="009C4618"/>
    <w:pPr>
      <w:keepNext/>
      <w:keepLines/>
      <w:spacing w:before="360" w:after="120" w:line="240" w:lineRule="auto"/>
      <w:outlineLvl w:val="1"/>
    </w:pPr>
    <w:rPr>
      <w:rFonts w:eastAsiaTheme="majorEastAsia" w:cstheme="majorBidi"/>
      <w:color w:val="1F3864" w:themeColor="accent5" w:themeShade="80"/>
      <w:sz w:val="44"/>
      <w:szCs w:val="26"/>
    </w:rPr>
  </w:style>
  <w:style w:type="paragraph" w:styleId="Heading3">
    <w:name w:val="heading 3"/>
    <w:basedOn w:val="Normal"/>
    <w:next w:val="Normal"/>
    <w:link w:val="Heading3Char"/>
    <w:uiPriority w:val="9"/>
    <w:qFormat/>
    <w:rsid w:val="00BC43B2"/>
    <w:pPr>
      <w:keepNext/>
      <w:keepLines/>
      <w:spacing w:before="240" w:after="120" w:line="240" w:lineRule="auto"/>
      <w:outlineLvl w:val="2"/>
    </w:pPr>
    <w:rPr>
      <w:rFonts w:eastAsiaTheme="majorEastAsia" w:cstheme="majorBidi"/>
      <w:color w:val="002060"/>
      <w:sz w:val="32"/>
      <w:szCs w:val="24"/>
    </w:rPr>
  </w:style>
  <w:style w:type="paragraph" w:styleId="Heading4">
    <w:name w:val="heading 4"/>
    <w:basedOn w:val="Normal"/>
    <w:next w:val="Normal"/>
    <w:link w:val="Heading4Char"/>
    <w:uiPriority w:val="9"/>
    <w:unhideWhenUsed/>
    <w:qFormat/>
    <w:rsid w:val="00B32F05"/>
    <w:pPr>
      <w:keepNext/>
      <w:keepLines/>
      <w:spacing w:before="240" w:after="120" w:line="240" w:lineRule="auto"/>
      <w:outlineLvl w:val="3"/>
    </w:pPr>
    <w:rPr>
      <w:rFonts w:eastAsiaTheme="majorEastAsia" w:cstheme="majorBidi"/>
      <w:iCs/>
      <w:color w:val="002060"/>
    </w:rPr>
  </w:style>
  <w:style w:type="paragraph" w:styleId="Heading5">
    <w:name w:val="heading 5"/>
    <w:basedOn w:val="Normal"/>
    <w:next w:val="Normal"/>
    <w:link w:val="Heading5Char"/>
    <w:uiPriority w:val="9"/>
    <w:unhideWhenUsed/>
    <w:qFormat/>
    <w:rsid w:val="00C851C3"/>
    <w:pPr>
      <w:keepNext/>
      <w:keepLines/>
      <w:spacing w:before="120" w:after="120" w:line="240" w:lineRule="auto"/>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FF7BDF"/>
    <w:pPr>
      <w:keepNext/>
      <w:keepLines/>
      <w:numPr>
        <w:ilvl w:val="5"/>
        <w:numId w:val="3"/>
      </w:numPr>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84F"/>
    <w:rPr>
      <w:rFonts w:ascii="Arial" w:eastAsiaTheme="majorEastAsia" w:hAnsi="Arial" w:cstheme="majorBidi"/>
      <w:color w:val="29797F"/>
      <w:sz w:val="72"/>
      <w:szCs w:val="32"/>
    </w:rPr>
  </w:style>
  <w:style w:type="character" w:customStyle="1" w:styleId="Heading2Char">
    <w:name w:val="Heading 2 Char"/>
    <w:basedOn w:val="DefaultParagraphFont"/>
    <w:link w:val="Heading2"/>
    <w:uiPriority w:val="9"/>
    <w:rsid w:val="009C4618"/>
    <w:rPr>
      <w:rFonts w:ascii="Arial" w:eastAsiaTheme="majorEastAsia" w:hAnsi="Arial" w:cstheme="majorBidi"/>
      <w:color w:val="1F3864" w:themeColor="accent5" w:themeShade="80"/>
      <w:sz w:val="44"/>
      <w:szCs w:val="26"/>
    </w:rPr>
  </w:style>
  <w:style w:type="paragraph" w:styleId="Quote">
    <w:name w:val="Quote"/>
    <w:basedOn w:val="Normal"/>
    <w:next w:val="Normal"/>
    <w:link w:val="QuoteChar"/>
    <w:uiPriority w:val="29"/>
    <w:qFormat/>
    <w:rsid w:val="000E3B65"/>
    <w:pPr>
      <w:keepNext/>
      <w:spacing w:before="120" w:after="0" w:line="276" w:lineRule="auto"/>
      <w:ind w:left="851" w:right="851"/>
      <w:jc w:val="center"/>
    </w:pPr>
    <w:rPr>
      <w:iCs/>
      <w:color w:val="202454"/>
    </w:rPr>
  </w:style>
  <w:style w:type="character" w:customStyle="1" w:styleId="QuoteChar">
    <w:name w:val="Quote Char"/>
    <w:basedOn w:val="DefaultParagraphFont"/>
    <w:link w:val="Quote"/>
    <w:uiPriority w:val="29"/>
    <w:rsid w:val="000E3B65"/>
    <w:rPr>
      <w:rFonts w:ascii="Arial" w:hAnsi="Arial"/>
      <w:iCs/>
      <w:color w:val="202454"/>
      <w:sz w:val="24"/>
    </w:rPr>
  </w:style>
  <w:style w:type="paragraph" w:styleId="IntenseQuote">
    <w:name w:val="Intense Quote"/>
    <w:aliases w:val="Participant Quote"/>
    <w:basedOn w:val="Normal"/>
    <w:next w:val="Normal"/>
    <w:link w:val="IntenseQuoteChar"/>
    <w:uiPriority w:val="8"/>
    <w:qFormat/>
    <w:rsid w:val="001176A2"/>
    <w:pPr>
      <w:tabs>
        <w:tab w:val="right" w:pos="8505"/>
      </w:tabs>
      <w:spacing w:after="360" w:line="240" w:lineRule="auto"/>
      <w:ind w:left="851" w:right="851"/>
    </w:pPr>
    <w:rPr>
      <w:i/>
      <w:iCs/>
      <w:color w:val="29797F"/>
    </w:rPr>
  </w:style>
  <w:style w:type="character" w:customStyle="1" w:styleId="IntenseQuoteChar">
    <w:name w:val="Intense Quote Char"/>
    <w:aliases w:val="Participant Quote Char"/>
    <w:basedOn w:val="DefaultParagraphFont"/>
    <w:link w:val="IntenseQuote"/>
    <w:uiPriority w:val="8"/>
    <w:rsid w:val="001176A2"/>
    <w:rPr>
      <w:rFonts w:ascii="Arial" w:hAnsi="Arial"/>
      <w:i/>
      <w:iCs/>
      <w:color w:val="29797F"/>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BC43B2"/>
    <w:rPr>
      <w:rFonts w:ascii="Arial" w:eastAsiaTheme="majorEastAsia" w:hAnsi="Arial" w:cstheme="majorBidi"/>
      <w:color w:val="002060"/>
      <w:sz w:val="32"/>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B32F05"/>
    <w:rPr>
      <w:rFonts w:ascii="Arial" w:eastAsiaTheme="majorEastAsia" w:hAnsi="Arial" w:cstheme="majorBidi"/>
      <w:iCs/>
      <w:color w:val="002060"/>
      <w:sz w:val="24"/>
    </w:rPr>
  </w:style>
  <w:style w:type="character" w:customStyle="1" w:styleId="Heading5Char">
    <w:name w:val="Heading 5 Char"/>
    <w:basedOn w:val="DefaultParagraphFont"/>
    <w:link w:val="Heading5"/>
    <w:uiPriority w:val="9"/>
    <w:rsid w:val="00C851C3"/>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uiPriority w:val="9"/>
    <w:semiHidden/>
    <w:rsid w:val="00FF7BDF"/>
    <w:rPr>
      <w:rFonts w:ascii="Arial" w:eastAsiaTheme="majorEastAsia" w:hAnsi="Arial" w:cstheme="majorBidi"/>
      <w:i/>
      <w:color w:val="000000" w:themeColor="text1"/>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005FA9"/>
    <w:pPr>
      <w:keepNext/>
      <w:tabs>
        <w:tab w:val="right" w:leader="dot" w:pos="8494"/>
      </w:tabs>
      <w:spacing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BE397F"/>
    <w:pPr>
      <w:keepNext/>
      <w:keepLines/>
      <w:spacing w:before="120" w:after="120" w:line="240" w:lineRule="auto"/>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BE397F"/>
    <w:rPr>
      <w:rFonts w:ascii="Arial" w:hAnsi="Arial"/>
      <w:b/>
      <w:iCs/>
      <w:color w:val="000000" w:themeColor="text1"/>
      <w:sz w:val="24"/>
      <w:szCs w:val="18"/>
    </w:rPr>
  </w:style>
  <w:style w:type="character" w:customStyle="1" w:styleId="FigurecaptionChar">
    <w:name w:val="Figure caption Char"/>
    <w:basedOn w:val="CaptionChar"/>
    <w:link w:val="Figurecaption"/>
    <w:uiPriority w:val="35"/>
    <w:rsid w:val="008E7443"/>
    <w:rPr>
      <w:rFonts w:ascii="Arial" w:hAnsi="Arial"/>
      <w:b/>
      <w:iCs/>
      <w:color w:val="000000" w:themeColor="text1"/>
      <w:sz w:val="24"/>
      <w:szCs w:val="18"/>
    </w:rPr>
  </w:style>
  <w:style w:type="paragraph" w:styleId="ListParagraph">
    <w:name w:val="List Paragraph"/>
    <w:aliases w:val="Bullets,Rec para,Dot pt,F5 List Paragraph,List Paragraph1,No Spacing1,List Paragraph Char Char Char,Indicator Text,Numbered Para 1,Colorful List - Accent 11,Bullet 1,MAIN CONTENT,List Paragraph12,List Paragraph2,Normal numbered,OBC Bullet"/>
    <w:basedOn w:val="Normal"/>
    <w:link w:val="ListParagraphChar"/>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A76333"/>
    <w:pPr>
      <w:spacing w:after="0" w:line="240" w:lineRule="auto"/>
      <w:contextualSpacing/>
      <w:jc w:val="center"/>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A76333"/>
    <w:rPr>
      <w:rFonts w:ascii="Arial" w:eastAsiaTheme="majorEastAsia" w:hAnsi="Arial" w:cstheme="majorBidi"/>
      <w:color w:val="000000" w:themeColor="text1"/>
      <w:spacing w:val="-10"/>
      <w:kern w:val="28"/>
      <w:sz w:val="7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0E3B65"/>
    <w:pPr>
      <w:keepLines/>
      <w:spacing w:line="240" w:lineRule="auto"/>
      <w:jc w:val="center"/>
    </w:pPr>
    <w:rPr>
      <w:i/>
      <w:color w:val="202454"/>
      <w:sz w:val="20"/>
      <w:lang w:eastAsia="en-NZ"/>
    </w:rPr>
  </w:style>
  <w:style w:type="character" w:customStyle="1" w:styleId="ParticipantquoteChar">
    <w:name w:val="Participant quote Char"/>
    <w:basedOn w:val="DefaultParagraphFont"/>
    <w:link w:val="Participantquote"/>
    <w:rsid w:val="000E3B65"/>
    <w:rPr>
      <w:rFonts w:ascii="Arial" w:hAnsi="Arial"/>
      <w:i/>
      <w:color w:val="202454"/>
      <w:sz w:val="20"/>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ListParagraphChar">
    <w:name w:val="List Paragraph Char"/>
    <w:aliases w:val="Bullets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rsid w:val="00A76333"/>
    <w:rPr>
      <w:rFonts w:ascii="Arial" w:hAnsi="Arial"/>
      <w:color w:val="000000" w:themeColor="text1"/>
      <w:sz w:val="24"/>
    </w:rPr>
  </w:style>
  <w:style w:type="paragraph" w:styleId="NormalWeb">
    <w:name w:val="Normal (Web)"/>
    <w:basedOn w:val="Normal"/>
    <w:uiPriority w:val="99"/>
    <w:unhideWhenUsed/>
    <w:rsid w:val="00A76333"/>
    <w:pPr>
      <w:spacing w:before="100" w:beforeAutospacing="1" w:after="100" w:afterAutospacing="1" w:line="240" w:lineRule="auto"/>
    </w:pPr>
    <w:rPr>
      <w:rFonts w:ascii="Times New Roman" w:eastAsia="Times New Roman" w:hAnsi="Times New Roman" w:cs="Times New Roman"/>
      <w:color w:val="auto"/>
      <w:szCs w:val="24"/>
      <w:lang w:val="en-US"/>
    </w:rPr>
  </w:style>
  <w:style w:type="numbering" w:customStyle="1" w:styleId="Style1">
    <w:name w:val="Style1"/>
    <w:uiPriority w:val="99"/>
    <w:rsid w:val="00054979"/>
    <w:pPr>
      <w:numPr>
        <w:numId w:val="4"/>
      </w:numPr>
    </w:pPr>
  </w:style>
  <w:style w:type="character" w:styleId="SubtleEmphasis">
    <w:name w:val="Subtle Emphasis"/>
    <w:basedOn w:val="DefaultParagraphFont"/>
    <w:uiPriority w:val="19"/>
    <w:qFormat/>
    <w:rsid w:val="00B7707A"/>
    <w:rPr>
      <w:i/>
      <w:iCs/>
      <w:color w:val="808080" w:themeColor="text1" w:themeTint="7F"/>
    </w:rPr>
  </w:style>
  <w:style w:type="character" w:styleId="IntenseEmphasis">
    <w:name w:val="Intense Emphasis"/>
    <w:basedOn w:val="DefaultParagraphFont"/>
    <w:uiPriority w:val="21"/>
    <w:qFormat/>
    <w:rsid w:val="00B7707A"/>
    <w:rPr>
      <w:b/>
      <w:bCs/>
      <w:i/>
      <w:iCs/>
      <w:color w:val="5B9BD5" w:themeColor="accent1"/>
    </w:rPr>
  </w:style>
  <w:style w:type="character" w:customStyle="1" w:styleId="intro">
    <w:name w:val="intro"/>
    <w:basedOn w:val="DefaultParagraphFont"/>
    <w:rsid w:val="00D273DA"/>
  </w:style>
  <w:style w:type="character" w:customStyle="1" w:styleId="f7rl1if4">
    <w:name w:val="f7rl1if4"/>
    <w:basedOn w:val="DefaultParagraphFont"/>
    <w:rsid w:val="00893E18"/>
  </w:style>
  <w:style w:type="paragraph" w:customStyle="1" w:styleId="Default">
    <w:name w:val="Default"/>
    <w:rsid w:val="000E2E94"/>
    <w:pPr>
      <w:autoSpaceDE w:val="0"/>
      <w:autoSpaceDN w:val="0"/>
      <w:adjustRightInd w:val="0"/>
      <w:spacing w:after="0" w:line="240" w:lineRule="auto"/>
    </w:pPr>
    <w:rPr>
      <w:rFonts w:ascii="Arial" w:hAnsi="Arial" w:cs="Arial"/>
      <w:color w:val="000000"/>
      <w:sz w:val="24"/>
      <w:szCs w:val="24"/>
    </w:rPr>
  </w:style>
  <w:style w:type="character" w:customStyle="1" w:styleId="tojvnm2t">
    <w:name w:val="tojvnm2t"/>
    <w:basedOn w:val="DefaultParagraphFont"/>
    <w:rsid w:val="000E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1962">
      <w:bodyDiv w:val="1"/>
      <w:marLeft w:val="0"/>
      <w:marRight w:val="0"/>
      <w:marTop w:val="0"/>
      <w:marBottom w:val="0"/>
      <w:divBdr>
        <w:top w:val="none" w:sz="0" w:space="0" w:color="auto"/>
        <w:left w:val="none" w:sz="0" w:space="0" w:color="auto"/>
        <w:bottom w:val="none" w:sz="0" w:space="0" w:color="auto"/>
        <w:right w:val="none" w:sz="0" w:space="0" w:color="auto"/>
      </w:divBdr>
    </w:div>
    <w:div w:id="35856676">
      <w:bodyDiv w:val="1"/>
      <w:marLeft w:val="0"/>
      <w:marRight w:val="0"/>
      <w:marTop w:val="0"/>
      <w:marBottom w:val="0"/>
      <w:divBdr>
        <w:top w:val="none" w:sz="0" w:space="0" w:color="auto"/>
        <w:left w:val="none" w:sz="0" w:space="0" w:color="auto"/>
        <w:bottom w:val="none" w:sz="0" w:space="0" w:color="auto"/>
        <w:right w:val="none" w:sz="0" w:space="0" w:color="auto"/>
      </w:divBdr>
    </w:div>
    <w:div w:id="40399171">
      <w:bodyDiv w:val="1"/>
      <w:marLeft w:val="0"/>
      <w:marRight w:val="0"/>
      <w:marTop w:val="0"/>
      <w:marBottom w:val="0"/>
      <w:divBdr>
        <w:top w:val="none" w:sz="0" w:space="0" w:color="auto"/>
        <w:left w:val="none" w:sz="0" w:space="0" w:color="auto"/>
        <w:bottom w:val="none" w:sz="0" w:space="0" w:color="auto"/>
        <w:right w:val="none" w:sz="0" w:space="0" w:color="auto"/>
      </w:divBdr>
    </w:div>
    <w:div w:id="51931576">
      <w:bodyDiv w:val="1"/>
      <w:marLeft w:val="0"/>
      <w:marRight w:val="0"/>
      <w:marTop w:val="0"/>
      <w:marBottom w:val="0"/>
      <w:divBdr>
        <w:top w:val="none" w:sz="0" w:space="0" w:color="auto"/>
        <w:left w:val="none" w:sz="0" w:space="0" w:color="auto"/>
        <w:bottom w:val="none" w:sz="0" w:space="0" w:color="auto"/>
        <w:right w:val="none" w:sz="0" w:space="0" w:color="auto"/>
      </w:divBdr>
      <w:divsChild>
        <w:div w:id="1554191389">
          <w:marLeft w:val="0"/>
          <w:marRight w:val="0"/>
          <w:marTop w:val="0"/>
          <w:marBottom w:val="343"/>
          <w:divBdr>
            <w:top w:val="none" w:sz="0" w:space="0" w:color="auto"/>
            <w:left w:val="none" w:sz="0" w:space="0" w:color="auto"/>
            <w:bottom w:val="none" w:sz="0" w:space="0" w:color="auto"/>
            <w:right w:val="none" w:sz="0" w:space="0" w:color="auto"/>
          </w:divBdr>
        </w:div>
        <w:div w:id="1030909676">
          <w:marLeft w:val="0"/>
          <w:marRight w:val="0"/>
          <w:marTop w:val="0"/>
          <w:marBottom w:val="0"/>
          <w:divBdr>
            <w:top w:val="none" w:sz="0" w:space="0" w:color="auto"/>
            <w:left w:val="none" w:sz="0" w:space="0" w:color="auto"/>
            <w:bottom w:val="none" w:sz="0" w:space="0" w:color="auto"/>
            <w:right w:val="none" w:sz="0" w:space="0" w:color="auto"/>
          </w:divBdr>
        </w:div>
      </w:divsChild>
    </w:div>
    <w:div w:id="63649779">
      <w:bodyDiv w:val="1"/>
      <w:marLeft w:val="0"/>
      <w:marRight w:val="0"/>
      <w:marTop w:val="0"/>
      <w:marBottom w:val="0"/>
      <w:divBdr>
        <w:top w:val="none" w:sz="0" w:space="0" w:color="auto"/>
        <w:left w:val="none" w:sz="0" w:space="0" w:color="auto"/>
        <w:bottom w:val="none" w:sz="0" w:space="0" w:color="auto"/>
        <w:right w:val="none" w:sz="0" w:space="0" w:color="auto"/>
      </w:divBdr>
    </w:div>
    <w:div w:id="83772497">
      <w:bodyDiv w:val="1"/>
      <w:marLeft w:val="0"/>
      <w:marRight w:val="0"/>
      <w:marTop w:val="0"/>
      <w:marBottom w:val="0"/>
      <w:divBdr>
        <w:top w:val="none" w:sz="0" w:space="0" w:color="auto"/>
        <w:left w:val="none" w:sz="0" w:space="0" w:color="auto"/>
        <w:bottom w:val="none" w:sz="0" w:space="0" w:color="auto"/>
        <w:right w:val="none" w:sz="0" w:space="0" w:color="auto"/>
      </w:divBdr>
      <w:divsChild>
        <w:div w:id="205526915">
          <w:marLeft w:val="0"/>
          <w:marRight w:val="0"/>
          <w:marTop w:val="0"/>
          <w:marBottom w:val="343"/>
          <w:divBdr>
            <w:top w:val="none" w:sz="0" w:space="0" w:color="auto"/>
            <w:left w:val="none" w:sz="0" w:space="0" w:color="auto"/>
            <w:bottom w:val="none" w:sz="0" w:space="0" w:color="auto"/>
            <w:right w:val="none" w:sz="0" w:space="0" w:color="auto"/>
          </w:divBdr>
        </w:div>
        <w:div w:id="194851977">
          <w:marLeft w:val="0"/>
          <w:marRight w:val="0"/>
          <w:marTop w:val="0"/>
          <w:marBottom w:val="0"/>
          <w:divBdr>
            <w:top w:val="none" w:sz="0" w:space="0" w:color="auto"/>
            <w:left w:val="none" w:sz="0" w:space="0" w:color="auto"/>
            <w:bottom w:val="none" w:sz="0" w:space="0" w:color="auto"/>
            <w:right w:val="none" w:sz="0" w:space="0" w:color="auto"/>
          </w:divBdr>
        </w:div>
      </w:divsChild>
    </w:div>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145631065">
      <w:bodyDiv w:val="1"/>
      <w:marLeft w:val="0"/>
      <w:marRight w:val="0"/>
      <w:marTop w:val="0"/>
      <w:marBottom w:val="0"/>
      <w:divBdr>
        <w:top w:val="none" w:sz="0" w:space="0" w:color="auto"/>
        <w:left w:val="none" w:sz="0" w:space="0" w:color="auto"/>
        <w:bottom w:val="none" w:sz="0" w:space="0" w:color="auto"/>
        <w:right w:val="none" w:sz="0" w:space="0" w:color="auto"/>
      </w:divBdr>
    </w:div>
    <w:div w:id="197665373">
      <w:bodyDiv w:val="1"/>
      <w:marLeft w:val="0"/>
      <w:marRight w:val="0"/>
      <w:marTop w:val="0"/>
      <w:marBottom w:val="0"/>
      <w:divBdr>
        <w:top w:val="none" w:sz="0" w:space="0" w:color="auto"/>
        <w:left w:val="none" w:sz="0" w:space="0" w:color="auto"/>
        <w:bottom w:val="none" w:sz="0" w:space="0" w:color="auto"/>
        <w:right w:val="none" w:sz="0" w:space="0" w:color="auto"/>
      </w:divBdr>
    </w:div>
    <w:div w:id="242689268">
      <w:bodyDiv w:val="1"/>
      <w:marLeft w:val="0"/>
      <w:marRight w:val="0"/>
      <w:marTop w:val="0"/>
      <w:marBottom w:val="0"/>
      <w:divBdr>
        <w:top w:val="none" w:sz="0" w:space="0" w:color="auto"/>
        <w:left w:val="none" w:sz="0" w:space="0" w:color="auto"/>
        <w:bottom w:val="none" w:sz="0" w:space="0" w:color="auto"/>
        <w:right w:val="none" w:sz="0" w:space="0" w:color="auto"/>
      </w:divBdr>
    </w:div>
    <w:div w:id="334766637">
      <w:bodyDiv w:val="1"/>
      <w:marLeft w:val="0"/>
      <w:marRight w:val="0"/>
      <w:marTop w:val="0"/>
      <w:marBottom w:val="0"/>
      <w:divBdr>
        <w:top w:val="none" w:sz="0" w:space="0" w:color="auto"/>
        <w:left w:val="none" w:sz="0" w:space="0" w:color="auto"/>
        <w:bottom w:val="none" w:sz="0" w:space="0" w:color="auto"/>
        <w:right w:val="none" w:sz="0" w:space="0" w:color="auto"/>
      </w:divBdr>
      <w:divsChild>
        <w:div w:id="1643922250">
          <w:marLeft w:val="0"/>
          <w:marRight w:val="0"/>
          <w:marTop w:val="0"/>
          <w:marBottom w:val="0"/>
          <w:divBdr>
            <w:top w:val="none" w:sz="0" w:space="0" w:color="auto"/>
            <w:left w:val="none" w:sz="0" w:space="0" w:color="auto"/>
            <w:bottom w:val="none" w:sz="0" w:space="0" w:color="auto"/>
            <w:right w:val="none" w:sz="0" w:space="0" w:color="auto"/>
          </w:divBdr>
          <w:divsChild>
            <w:div w:id="596524826">
              <w:marLeft w:val="0"/>
              <w:marRight w:val="0"/>
              <w:marTop w:val="0"/>
              <w:marBottom w:val="0"/>
              <w:divBdr>
                <w:top w:val="none" w:sz="0" w:space="0" w:color="auto"/>
                <w:left w:val="none" w:sz="0" w:space="0" w:color="auto"/>
                <w:bottom w:val="none" w:sz="0" w:space="0" w:color="auto"/>
                <w:right w:val="none" w:sz="0" w:space="0" w:color="auto"/>
              </w:divBdr>
              <w:divsChild>
                <w:div w:id="312953031">
                  <w:marLeft w:val="0"/>
                  <w:marRight w:val="0"/>
                  <w:marTop w:val="0"/>
                  <w:marBottom w:val="343"/>
                  <w:divBdr>
                    <w:top w:val="none" w:sz="0" w:space="0" w:color="auto"/>
                    <w:left w:val="none" w:sz="0" w:space="0" w:color="auto"/>
                    <w:bottom w:val="none" w:sz="0" w:space="0" w:color="auto"/>
                    <w:right w:val="none" w:sz="0" w:space="0" w:color="auto"/>
                  </w:divBdr>
                </w:div>
                <w:div w:id="1986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6100">
      <w:bodyDiv w:val="1"/>
      <w:marLeft w:val="0"/>
      <w:marRight w:val="0"/>
      <w:marTop w:val="0"/>
      <w:marBottom w:val="0"/>
      <w:divBdr>
        <w:top w:val="none" w:sz="0" w:space="0" w:color="auto"/>
        <w:left w:val="none" w:sz="0" w:space="0" w:color="auto"/>
        <w:bottom w:val="none" w:sz="0" w:space="0" w:color="auto"/>
        <w:right w:val="none" w:sz="0" w:space="0" w:color="auto"/>
      </w:divBdr>
      <w:divsChild>
        <w:div w:id="601650030">
          <w:marLeft w:val="0"/>
          <w:marRight w:val="0"/>
          <w:marTop w:val="0"/>
          <w:marBottom w:val="343"/>
          <w:divBdr>
            <w:top w:val="none" w:sz="0" w:space="0" w:color="auto"/>
            <w:left w:val="none" w:sz="0" w:space="0" w:color="auto"/>
            <w:bottom w:val="none" w:sz="0" w:space="0" w:color="auto"/>
            <w:right w:val="none" w:sz="0" w:space="0" w:color="auto"/>
          </w:divBdr>
        </w:div>
        <w:div w:id="1628851883">
          <w:marLeft w:val="0"/>
          <w:marRight w:val="0"/>
          <w:marTop w:val="0"/>
          <w:marBottom w:val="0"/>
          <w:divBdr>
            <w:top w:val="none" w:sz="0" w:space="0" w:color="auto"/>
            <w:left w:val="none" w:sz="0" w:space="0" w:color="auto"/>
            <w:bottom w:val="none" w:sz="0" w:space="0" w:color="auto"/>
            <w:right w:val="none" w:sz="0" w:space="0" w:color="auto"/>
          </w:divBdr>
        </w:div>
      </w:divsChild>
    </w:div>
    <w:div w:id="378289393">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03375628">
      <w:bodyDiv w:val="1"/>
      <w:marLeft w:val="0"/>
      <w:marRight w:val="0"/>
      <w:marTop w:val="0"/>
      <w:marBottom w:val="0"/>
      <w:divBdr>
        <w:top w:val="none" w:sz="0" w:space="0" w:color="auto"/>
        <w:left w:val="none" w:sz="0" w:space="0" w:color="auto"/>
        <w:bottom w:val="none" w:sz="0" w:space="0" w:color="auto"/>
        <w:right w:val="none" w:sz="0" w:space="0" w:color="auto"/>
      </w:divBdr>
    </w:div>
    <w:div w:id="427695541">
      <w:bodyDiv w:val="1"/>
      <w:marLeft w:val="0"/>
      <w:marRight w:val="0"/>
      <w:marTop w:val="0"/>
      <w:marBottom w:val="0"/>
      <w:divBdr>
        <w:top w:val="none" w:sz="0" w:space="0" w:color="auto"/>
        <w:left w:val="none" w:sz="0" w:space="0" w:color="auto"/>
        <w:bottom w:val="none" w:sz="0" w:space="0" w:color="auto"/>
        <w:right w:val="none" w:sz="0" w:space="0" w:color="auto"/>
      </w:divBdr>
      <w:divsChild>
        <w:div w:id="2031713376">
          <w:marLeft w:val="0"/>
          <w:marRight w:val="0"/>
          <w:marTop w:val="0"/>
          <w:marBottom w:val="0"/>
          <w:divBdr>
            <w:top w:val="none" w:sz="0" w:space="0" w:color="auto"/>
            <w:left w:val="none" w:sz="0" w:space="0" w:color="auto"/>
            <w:bottom w:val="none" w:sz="0" w:space="0" w:color="auto"/>
            <w:right w:val="none" w:sz="0" w:space="0" w:color="auto"/>
          </w:divBdr>
        </w:div>
      </w:divsChild>
    </w:div>
    <w:div w:id="438180446">
      <w:bodyDiv w:val="1"/>
      <w:marLeft w:val="0"/>
      <w:marRight w:val="0"/>
      <w:marTop w:val="0"/>
      <w:marBottom w:val="0"/>
      <w:divBdr>
        <w:top w:val="none" w:sz="0" w:space="0" w:color="auto"/>
        <w:left w:val="none" w:sz="0" w:space="0" w:color="auto"/>
        <w:bottom w:val="none" w:sz="0" w:space="0" w:color="auto"/>
        <w:right w:val="none" w:sz="0" w:space="0" w:color="auto"/>
      </w:divBdr>
    </w:div>
    <w:div w:id="444233024">
      <w:bodyDiv w:val="1"/>
      <w:marLeft w:val="0"/>
      <w:marRight w:val="0"/>
      <w:marTop w:val="0"/>
      <w:marBottom w:val="0"/>
      <w:divBdr>
        <w:top w:val="none" w:sz="0" w:space="0" w:color="auto"/>
        <w:left w:val="none" w:sz="0" w:space="0" w:color="auto"/>
        <w:bottom w:val="none" w:sz="0" w:space="0" w:color="auto"/>
        <w:right w:val="none" w:sz="0" w:space="0" w:color="auto"/>
      </w:divBdr>
    </w:div>
    <w:div w:id="482627974">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14148096">
      <w:bodyDiv w:val="1"/>
      <w:marLeft w:val="0"/>
      <w:marRight w:val="0"/>
      <w:marTop w:val="0"/>
      <w:marBottom w:val="0"/>
      <w:divBdr>
        <w:top w:val="none" w:sz="0" w:space="0" w:color="auto"/>
        <w:left w:val="none" w:sz="0" w:space="0" w:color="auto"/>
        <w:bottom w:val="none" w:sz="0" w:space="0" w:color="auto"/>
        <w:right w:val="none" w:sz="0" w:space="0" w:color="auto"/>
      </w:divBdr>
      <w:divsChild>
        <w:div w:id="648049234">
          <w:marLeft w:val="0"/>
          <w:marRight w:val="0"/>
          <w:marTop w:val="75"/>
          <w:marBottom w:val="75"/>
          <w:divBdr>
            <w:top w:val="none" w:sz="0" w:space="0" w:color="auto"/>
            <w:left w:val="none" w:sz="0" w:space="0" w:color="auto"/>
            <w:bottom w:val="none" w:sz="0" w:space="0" w:color="auto"/>
            <w:right w:val="none" w:sz="0" w:space="0" w:color="auto"/>
          </w:divBdr>
        </w:div>
      </w:divsChild>
    </w:div>
    <w:div w:id="636497434">
      <w:bodyDiv w:val="1"/>
      <w:marLeft w:val="0"/>
      <w:marRight w:val="0"/>
      <w:marTop w:val="0"/>
      <w:marBottom w:val="0"/>
      <w:divBdr>
        <w:top w:val="none" w:sz="0" w:space="0" w:color="auto"/>
        <w:left w:val="none" w:sz="0" w:space="0" w:color="auto"/>
        <w:bottom w:val="none" w:sz="0" w:space="0" w:color="auto"/>
        <w:right w:val="none" w:sz="0" w:space="0" w:color="auto"/>
      </w:divBdr>
    </w:div>
    <w:div w:id="643437131">
      <w:bodyDiv w:val="1"/>
      <w:marLeft w:val="0"/>
      <w:marRight w:val="0"/>
      <w:marTop w:val="0"/>
      <w:marBottom w:val="0"/>
      <w:divBdr>
        <w:top w:val="none" w:sz="0" w:space="0" w:color="auto"/>
        <w:left w:val="none" w:sz="0" w:space="0" w:color="auto"/>
        <w:bottom w:val="none" w:sz="0" w:space="0" w:color="auto"/>
        <w:right w:val="none" w:sz="0" w:space="0" w:color="auto"/>
      </w:divBdr>
    </w:div>
    <w:div w:id="648749677">
      <w:bodyDiv w:val="1"/>
      <w:marLeft w:val="0"/>
      <w:marRight w:val="0"/>
      <w:marTop w:val="0"/>
      <w:marBottom w:val="0"/>
      <w:divBdr>
        <w:top w:val="none" w:sz="0" w:space="0" w:color="auto"/>
        <w:left w:val="none" w:sz="0" w:space="0" w:color="auto"/>
        <w:bottom w:val="none" w:sz="0" w:space="0" w:color="auto"/>
        <w:right w:val="none" w:sz="0" w:space="0" w:color="auto"/>
      </w:divBdr>
    </w:div>
    <w:div w:id="708920256">
      <w:bodyDiv w:val="1"/>
      <w:marLeft w:val="0"/>
      <w:marRight w:val="0"/>
      <w:marTop w:val="0"/>
      <w:marBottom w:val="0"/>
      <w:divBdr>
        <w:top w:val="none" w:sz="0" w:space="0" w:color="auto"/>
        <w:left w:val="none" w:sz="0" w:space="0" w:color="auto"/>
        <w:bottom w:val="none" w:sz="0" w:space="0" w:color="auto"/>
        <w:right w:val="none" w:sz="0" w:space="0" w:color="auto"/>
      </w:divBdr>
    </w:div>
    <w:div w:id="785389979">
      <w:bodyDiv w:val="1"/>
      <w:marLeft w:val="0"/>
      <w:marRight w:val="0"/>
      <w:marTop w:val="0"/>
      <w:marBottom w:val="0"/>
      <w:divBdr>
        <w:top w:val="none" w:sz="0" w:space="0" w:color="auto"/>
        <w:left w:val="none" w:sz="0" w:space="0" w:color="auto"/>
        <w:bottom w:val="none" w:sz="0" w:space="0" w:color="auto"/>
        <w:right w:val="none" w:sz="0" w:space="0" w:color="auto"/>
      </w:divBdr>
      <w:divsChild>
        <w:div w:id="1435979793">
          <w:marLeft w:val="0"/>
          <w:marRight w:val="0"/>
          <w:marTop w:val="0"/>
          <w:marBottom w:val="0"/>
          <w:divBdr>
            <w:top w:val="none" w:sz="0" w:space="0" w:color="auto"/>
            <w:left w:val="none" w:sz="0" w:space="0" w:color="auto"/>
            <w:bottom w:val="none" w:sz="0" w:space="0" w:color="auto"/>
            <w:right w:val="none" w:sz="0" w:space="0" w:color="auto"/>
          </w:divBdr>
          <w:divsChild>
            <w:div w:id="1556699511">
              <w:marLeft w:val="0"/>
              <w:marRight w:val="0"/>
              <w:marTop w:val="0"/>
              <w:marBottom w:val="0"/>
              <w:divBdr>
                <w:top w:val="none" w:sz="0" w:space="0" w:color="auto"/>
                <w:left w:val="none" w:sz="0" w:space="0" w:color="auto"/>
                <w:bottom w:val="none" w:sz="0" w:space="0" w:color="auto"/>
                <w:right w:val="none" w:sz="0" w:space="0" w:color="auto"/>
              </w:divBdr>
              <w:divsChild>
                <w:div w:id="226764929">
                  <w:marLeft w:val="0"/>
                  <w:marRight w:val="0"/>
                  <w:marTop w:val="0"/>
                  <w:marBottom w:val="343"/>
                  <w:divBdr>
                    <w:top w:val="none" w:sz="0" w:space="0" w:color="auto"/>
                    <w:left w:val="none" w:sz="0" w:space="0" w:color="auto"/>
                    <w:bottom w:val="none" w:sz="0" w:space="0" w:color="auto"/>
                    <w:right w:val="none" w:sz="0" w:space="0" w:color="auto"/>
                  </w:divBdr>
                </w:div>
                <w:div w:id="1778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0466210">
      <w:bodyDiv w:val="1"/>
      <w:marLeft w:val="0"/>
      <w:marRight w:val="0"/>
      <w:marTop w:val="0"/>
      <w:marBottom w:val="0"/>
      <w:divBdr>
        <w:top w:val="none" w:sz="0" w:space="0" w:color="auto"/>
        <w:left w:val="none" w:sz="0" w:space="0" w:color="auto"/>
        <w:bottom w:val="none" w:sz="0" w:space="0" w:color="auto"/>
        <w:right w:val="none" w:sz="0" w:space="0" w:color="auto"/>
      </w:divBdr>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855075212">
      <w:bodyDiv w:val="1"/>
      <w:marLeft w:val="0"/>
      <w:marRight w:val="0"/>
      <w:marTop w:val="0"/>
      <w:marBottom w:val="0"/>
      <w:divBdr>
        <w:top w:val="none" w:sz="0" w:space="0" w:color="auto"/>
        <w:left w:val="none" w:sz="0" w:space="0" w:color="auto"/>
        <w:bottom w:val="none" w:sz="0" w:space="0" w:color="auto"/>
        <w:right w:val="none" w:sz="0" w:space="0" w:color="auto"/>
      </w:divBdr>
      <w:divsChild>
        <w:div w:id="1111710015">
          <w:marLeft w:val="0"/>
          <w:marRight w:val="0"/>
          <w:marTop w:val="0"/>
          <w:marBottom w:val="343"/>
          <w:divBdr>
            <w:top w:val="none" w:sz="0" w:space="0" w:color="auto"/>
            <w:left w:val="none" w:sz="0" w:space="0" w:color="auto"/>
            <w:bottom w:val="none" w:sz="0" w:space="0" w:color="auto"/>
            <w:right w:val="none" w:sz="0" w:space="0" w:color="auto"/>
          </w:divBdr>
        </w:div>
        <w:div w:id="1547524734">
          <w:marLeft w:val="0"/>
          <w:marRight w:val="0"/>
          <w:marTop w:val="0"/>
          <w:marBottom w:val="0"/>
          <w:divBdr>
            <w:top w:val="none" w:sz="0" w:space="0" w:color="auto"/>
            <w:left w:val="none" w:sz="0" w:space="0" w:color="auto"/>
            <w:bottom w:val="none" w:sz="0" w:space="0" w:color="auto"/>
            <w:right w:val="none" w:sz="0" w:space="0" w:color="auto"/>
          </w:divBdr>
        </w:div>
      </w:divsChild>
    </w:div>
    <w:div w:id="881943257">
      <w:bodyDiv w:val="1"/>
      <w:marLeft w:val="0"/>
      <w:marRight w:val="0"/>
      <w:marTop w:val="0"/>
      <w:marBottom w:val="0"/>
      <w:divBdr>
        <w:top w:val="none" w:sz="0" w:space="0" w:color="auto"/>
        <w:left w:val="none" w:sz="0" w:space="0" w:color="auto"/>
        <w:bottom w:val="none" w:sz="0" w:space="0" w:color="auto"/>
        <w:right w:val="none" w:sz="0" w:space="0" w:color="auto"/>
      </w:divBdr>
    </w:div>
    <w:div w:id="883954839">
      <w:bodyDiv w:val="1"/>
      <w:marLeft w:val="0"/>
      <w:marRight w:val="0"/>
      <w:marTop w:val="0"/>
      <w:marBottom w:val="0"/>
      <w:divBdr>
        <w:top w:val="none" w:sz="0" w:space="0" w:color="auto"/>
        <w:left w:val="none" w:sz="0" w:space="0" w:color="auto"/>
        <w:bottom w:val="none" w:sz="0" w:space="0" w:color="auto"/>
        <w:right w:val="none" w:sz="0" w:space="0" w:color="auto"/>
      </w:divBdr>
    </w:div>
    <w:div w:id="884408449">
      <w:bodyDiv w:val="1"/>
      <w:marLeft w:val="0"/>
      <w:marRight w:val="0"/>
      <w:marTop w:val="0"/>
      <w:marBottom w:val="0"/>
      <w:divBdr>
        <w:top w:val="none" w:sz="0" w:space="0" w:color="auto"/>
        <w:left w:val="none" w:sz="0" w:space="0" w:color="auto"/>
        <w:bottom w:val="none" w:sz="0" w:space="0" w:color="auto"/>
        <w:right w:val="none" w:sz="0" w:space="0" w:color="auto"/>
      </w:divBdr>
      <w:divsChild>
        <w:div w:id="2122409345">
          <w:marLeft w:val="0"/>
          <w:marRight w:val="0"/>
          <w:marTop w:val="0"/>
          <w:marBottom w:val="0"/>
          <w:divBdr>
            <w:top w:val="none" w:sz="0" w:space="0" w:color="auto"/>
            <w:left w:val="none" w:sz="0" w:space="0" w:color="auto"/>
            <w:bottom w:val="none" w:sz="0" w:space="0" w:color="auto"/>
            <w:right w:val="none" w:sz="0" w:space="0" w:color="auto"/>
          </w:divBdr>
          <w:divsChild>
            <w:div w:id="891623192">
              <w:marLeft w:val="0"/>
              <w:marRight w:val="0"/>
              <w:marTop w:val="0"/>
              <w:marBottom w:val="0"/>
              <w:divBdr>
                <w:top w:val="none" w:sz="0" w:space="0" w:color="auto"/>
                <w:left w:val="none" w:sz="0" w:space="0" w:color="auto"/>
                <w:bottom w:val="none" w:sz="0" w:space="0" w:color="auto"/>
                <w:right w:val="none" w:sz="0" w:space="0" w:color="auto"/>
              </w:divBdr>
              <w:divsChild>
                <w:div w:id="132455194">
                  <w:marLeft w:val="0"/>
                  <w:marRight w:val="0"/>
                  <w:marTop w:val="0"/>
                  <w:marBottom w:val="343"/>
                  <w:divBdr>
                    <w:top w:val="none" w:sz="0" w:space="0" w:color="auto"/>
                    <w:left w:val="none" w:sz="0" w:space="0" w:color="auto"/>
                    <w:bottom w:val="none" w:sz="0" w:space="0" w:color="auto"/>
                    <w:right w:val="none" w:sz="0" w:space="0" w:color="auto"/>
                  </w:divBdr>
                </w:div>
                <w:div w:id="9660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3887">
      <w:bodyDiv w:val="1"/>
      <w:marLeft w:val="0"/>
      <w:marRight w:val="0"/>
      <w:marTop w:val="0"/>
      <w:marBottom w:val="0"/>
      <w:divBdr>
        <w:top w:val="none" w:sz="0" w:space="0" w:color="auto"/>
        <w:left w:val="none" w:sz="0" w:space="0" w:color="auto"/>
        <w:bottom w:val="none" w:sz="0" w:space="0" w:color="auto"/>
        <w:right w:val="none" w:sz="0" w:space="0" w:color="auto"/>
      </w:divBdr>
      <w:divsChild>
        <w:div w:id="865675428">
          <w:marLeft w:val="0"/>
          <w:marRight w:val="0"/>
          <w:marTop w:val="0"/>
          <w:marBottom w:val="0"/>
          <w:divBdr>
            <w:top w:val="none" w:sz="0" w:space="0" w:color="auto"/>
            <w:left w:val="none" w:sz="0" w:space="0" w:color="auto"/>
            <w:bottom w:val="none" w:sz="0" w:space="0" w:color="auto"/>
            <w:right w:val="none" w:sz="0" w:space="0" w:color="auto"/>
          </w:divBdr>
          <w:divsChild>
            <w:div w:id="347564678">
              <w:marLeft w:val="0"/>
              <w:marRight w:val="0"/>
              <w:marTop w:val="0"/>
              <w:marBottom w:val="0"/>
              <w:divBdr>
                <w:top w:val="none" w:sz="0" w:space="0" w:color="auto"/>
                <w:left w:val="none" w:sz="0" w:space="0" w:color="auto"/>
                <w:bottom w:val="none" w:sz="0" w:space="0" w:color="auto"/>
                <w:right w:val="none" w:sz="0" w:space="0" w:color="auto"/>
              </w:divBdr>
              <w:divsChild>
                <w:div w:id="6637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1406">
      <w:bodyDiv w:val="1"/>
      <w:marLeft w:val="0"/>
      <w:marRight w:val="0"/>
      <w:marTop w:val="0"/>
      <w:marBottom w:val="0"/>
      <w:divBdr>
        <w:top w:val="none" w:sz="0" w:space="0" w:color="auto"/>
        <w:left w:val="none" w:sz="0" w:space="0" w:color="auto"/>
        <w:bottom w:val="none" w:sz="0" w:space="0" w:color="auto"/>
        <w:right w:val="none" w:sz="0" w:space="0" w:color="auto"/>
      </w:divBdr>
    </w:div>
    <w:div w:id="980158111">
      <w:bodyDiv w:val="1"/>
      <w:marLeft w:val="0"/>
      <w:marRight w:val="0"/>
      <w:marTop w:val="0"/>
      <w:marBottom w:val="0"/>
      <w:divBdr>
        <w:top w:val="none" w:sz="0" w:space="0" w:color="auto"/>
        <w:left w:val="none" w:sz="0" w:space="0" w:color="auto"/>
        <w:bottom w:val="none" w:sz="0" w:space="0" w:color="auto"/>
        <w:right w:val="none" w:sz="0" w:space="0" w:color="auto"/>
      </w:divBdr>
      <w:divsChild>
        <w:div w:id="1907493653">
          <w:marLeft w:val="0"/>
          <w:marRight w:val="0"/>
          <w:marTop w:val="0"/>
          <w:marBottom w:val="343"/>
          <w:divBdr>
            <w:top w:val="none" w:sz="0" w:space="0" w:color="auto"/>
            <w:left w:val="none" w:sz="0" w:space="0" w:color="auto"/>
            <w:bottom w:val="none" w:sz="0" w:space="0" w:color="auto"/>
            <w:right w:val="none" w:sz="0" w:space="0" w:color="auto"/>
          </w:divBdr>
        </w:div>
        <w:div w:id="509411957">
          <w:marLeft w:val="0"/>
          <w:marRight w:val="0"/>
          <w:marTop w:val="0"/>
          <w:marBottom w:val="0"/>
          <w:divBdr>
            <w:top w:val="none" w:sz="0" w:space="0" w:color="auto"/>
            <w:left w:val="none" w:sz="0" w:space="0" w:color="auto"/>
            <w:bottom w:val="none" w:sz="0" w:space="0" w:color="auto"/>
            <w:right w:val="none" w:sz="0" w:space="0" w:color="auto"/>
          </w:divBdr>
        </w:div>
      </w:divsChild>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030301986">
      <w:bodyDiv w:val="1"/>
      <w:marLeft w:val="0"/>
      <w:marRight w:val="0"/>
      <w:marTop w:val="0"/>
      <w:marBottom w:val="0"/>
      <w:divBdr>
        <w:top w:val="none" w:sz="0" w:space="0" w:color="auto"/>
        <w:left w:val="none" w:sz="0" w:space="0" w:color="auto"/>
        <w:bottom w:val="none" w:sz="0" w:space="0" w:color="auto"/>
        <w:right w:val="none" w:sz="0" w:space="0" w:color="auto"/>
      </w:divBdr>
      <w:divsChild>
        <w:div w:id="1206674508">
          <w:marLeft w:val="0"/>
          <w:marRight w:val="0"/>
          <w:marTop w:val="0"/>
          <w:marBottom w:val="343"/>
          <w:divBdr>
            <w:top w:val="none" w:sz="0" w:space="0" w:color="auto"/>
            <w:left w:val="none" w:sz="0" w:space="0" w:color="auto"/>
            <w:bottom w:val="none" w:sz="0" w:space="0" w:color="auto"/>
            <w:right w:val="none" w:sz="0" w:space="0" w:color="auto"/>
          </w:divBdr>
        </w:div>
        <w:div w:id="1447389523">
          <w:marLeft w:val="0"/>
          <w:marRight w:val="0"/>
          <w:marTop w:val="0"/>
          <w:marBottom w:val="0"/>
          <w:divBdr>
            <w:top w:val="none" w:sz="0" w:space="0" w:color="auto"/>
            <w:left w:val="none" w:sz="0" w:space="0" w:color="auto"/>
            <w:bottom w:val="none" w:sz="0" w:space="0" w:color="auto"/>
            <w:right w:val="none" w:sz="0" w:space="0" w:color="auto"/>
          </w:divBdr>
        </w:div>
      </w:divsChild>
    </w:div>
    <w:div w:id="1118447070">
      <w:bodyDiv w:val="1"/>
      <w:marLeft w:val="0"/>
      <w:marRight w:val="0"/>
      <w:marTop w:val="0"/>
      <w:marBottom w:val="0"/>
      <w:divBdr>
        <w:top w:val="none" w:sz="0" w:space="0" w:color="auto"/>
        <w:left w:val="none" w:sz="0" w:space="0" w:color="auto"/>
        <w:bottom w:val="none" w:sz="0" w:space="0" w:color="auto"/>
        <w:right w:val="none" w:sz="0" w:space="0" w:color="auto"/>
      </w:divBdr>
    </w:div>
    <w:div w:id="1126192284">
      <w:bodyDiv w:val="1"/>
      <w:marLeft w:val="0"/>
      <w:marRight w:val="0"/>
      <w:marTop w:val="0"/>
      <w:marBottom w:val="0"/>
      <w:divBdr>
        <w:top w:val="none" w:sz="0" w:space="0" w:color="auto"/>
        <w:left w:val="none" w:sz="0" w:space="0" w:color="auto"/>
        <w:bottom w:val="none" w:sz="0" w:space="0" w:color="auto"/>
        <w:right w:val="none" w:sz="0" w:space="0" w:color="auto"/>
      </w:divBdr>
    </w:div>
    <w:div w:id="1186093225">
      <w:bodyDiv w:val="1"/>
      <w:marLeft w:val="0"/>
      <w:marRight w:val="0"/>
      <w:marTop w:val="0"/>
      <w:marBottom w:val="0"/>
      <w:divBdr>
        <w:top w:val="none" w:sz="0" w:space="0" w:color="auto"/>
        <w:left w:val="none" w:sz="0" w:space="0" w:color="auto"/>
        <w:bottom w:val="none" w:sz="0" w:space="0" w:color="auto"/>
        <w:right w:val="none" w:sz="0" w:space="0" w:color="auto"/>
      </w:divBdr>
    </w:div>
    <w:div w:id="1187645937">
      <w:bodyDiv w:val="1"/>
      <w:marLeft w:val="0"/>
      <w:marRight w:val="0"/>
      <w:marTop w:val="0"/>
      <w:marBottom w:val="0"/>
      <w:divBdr>
        <w:top w:val="none" w:sz="0" w:space="0" w:color="auto"/>
        <w:left w:val="none" w:sz="0" w:space="0" w:color="auto"/>
        <w:bottom w:val="none" w:sz="0" w:space="0" w:color="auto"/>
        <w:right w:val="none" w:sz="0" w:space="0" w:color="auto"/>
      </w:divBdr>
    </w:div>
    <w:div w:id="1257399111">
      <w:bodyDiv w:val="1"/>
      <w:marLeft w:val="0"/>
      <w:marRight w:val="0"/>
      <w:marTop w:val="0"/>
      <w:marBottom w:val="0"/>
      <w:divBdr>
        <w:top w:val="none" w:sz="0" w:space="0" w:color="auto"/>
        <w:left w:val="none" w:sz="0" w:space="0" w:color="auto"/>
        <w:bottom w:val="none" w:sz="0" w:space="0" w:color="auto"/>
        <w:right w:val="none" w:sz="0" w:space="0" w:color="auto"/>
      </w:divBdr>
      <w:divsChild>
        <w:div w:id="306133242">
          <w:marLeft w:val="0"/>
          <w:marRight w:val="0"/>
          <w:marTop w:val="0"/>
          <w:marBottom w:val="343"/>
          <w:divBdr>
            <w:top w:val="none" w:sz="0" w:space="0" w:color="auto"/>
            <w:left w:val="none" w:sz="0" w:space="0" w:color="auto"/>
            <w:bottom w:val="none" w:sz="0" w:space="0" w:color="auto"/>
            <w:right w:val="none" w:sz="0" w:space="0" w:color="auto"/>
          </w:divBdr>
        </w:div>
        <w:div w:id="1721980846">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66177266">
      <w:bodyDiv w:val="1"/>
      <w:marLeft w:val="0"/>
      <w:marRight w:val="0"/>
      <w:marTop w:val="0"/>
      <w:marBottom w:val="0"/>
      <w:divBdr>
        <w:top w:val="none" w:sz="0" w:space="0" w:color="auto"/>
        <w:left w:val="none" w:sz="0" w:space="0" w:color="auto"/>
        <w:bottom w:val="none" w:sz="0" w:space="0" w:color="auto"/>
        <w:right w:val="none" w:sz="0" w:space="0" w:color="auto"/>
      </w:divBdr>
      <w:divsChild>
        <w:div w:id="85460621">
          <w:marLeft w:val="0"/>
          <w:marRight w:val="0"/>
          <w:marTop w:val="0"/>
          <w:marBottom w:val="0"/>
          <w:divBdr>
            <w:top w:val="none" w:sz="0" w:space="0" w:color="auto"/>
            <w:left w:val="none" w:sz="0" w:space="0" w:color="auto"/>
            <w:bottom w:val="none" w:sz="0" w:space="0" w:color="auto"/>
            <w:right w:val="none" w:sz="0" w:space="0" w:color="auto"/>
          </w:divBdr>
          <w:divsChild>
            <w:div w:id="1869365960">
              <w:marLeft w:val="0"/>
              <w:marRight w:val="0"/>
              <w:marTop w:val="0"/>
              <w:marBottom w:val="0"/>
              <w:divBdr>
                <w:top w:val="none" w:sz="0" w:space="0" w:color="auto"/>
                <w:left w:val="none" w:sz="0" w:space="0" w:color="auto"/>
                <w:bottom w:val="none" w:sz="0" w:space="0" w:color="auto"/>
                <w:right w:val="none" w:sz="0" w:space="0" w:color="auto"/>
              </w:divBdr>
              <w:divsChild>
                <w:div w:id="2057511323">
                  <w:marLeft w:val="0"/>
                  <w:marRight w:val="0"/>
                  <w:marTop w:val="0"/>
                  <w:marBottom w:val="343"/>
                  <w:divBdr>
                    <w:top w:val="none" w:sz="0" w:space="0" w:color="auto"/>
                    <w:left w:val="none" w:sz="0" w:space="0" w:color="auto"/>
                    <w:bottom w:val="none" w:sz="0" w:space="0" w:color="auto"/>
                    <w:right w:val="none" w:sz="0" w:space="0" w:color="auto"/>
                  </w:divBdr>
                </w:div>
                <w:div w:id="10534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53496">
      <w:bodyDiv w:val="1"/>
      <w:marLeft w:val="0"/>
      <w:marRight w:val="0"/>
      <w:marTop w:val="0"/>
      <w:marBottom w:val="0"/>
      <w:divBdr>
        <w:top w:val="none" w:sz="0" w:space="0" w:color="auto"/>
        <w:left w:val="none" w:sz="0" w:space="0" w:color="auto"/>
        <w:bottom w:val="none" w:sz="0" w:space="0" w:color="auto"/>
        <w:right w:val="none" w:sz="0" w:space="0" w:color="auto"/>
      </w:divBdr>
    </w:div>
    <w:div w:id="1422793054">
      <w:bodyDiv w:val="1"/>
      <w:marLeft w:val="0"/>
      <w:marRight w:val="0"/>
      <w:marTop w:val="0"/>
      <w:marBottom w:val="0"/>
      <w:divBdr>
        <w:top w:val="none" w:sz="0" w:space="0" w:color="auto"/>
        <w:left w:val="none" w:sz="0" w:space="0" w:color="auto"/>
        <w:bottom w:val="none" w:sz="0" w:space="0" w:color="auto"/>
        <w:right w:val="none" w:sz="0" w:space="0" w:color="auto"/>
      </w:divBdr>
    </w:div>
    <w:div w:id="1477181903">
      <w:bodyDiv w:val="1"/>
      <w:marLeft w:val="0"/>
      <w:marRight w:val="0"/>
      <w:marTop w:val="0"/>
      <w:marBottom w:val="0"/>
      <w:divBdr>
        <w:top w:val="none" w:sz="0" w:space="0" w:color="auto"/>
        <w:left w:val="none" w:sz="0" w:space="0" w:color="auto"/>
        <w:bottom w:val="none" w:sz="0" w:space="0" w:color="auto"/>
        <w:right w:val="none" w:sz="0" w:space="0" w:color="auto"/>
      </w:divBdr>
    </w:div>
    <w:div w:id="1535577579">
      <w:bodyDiv w:val="1"/>
      <w:marLeft w:val="0"/>
      <w:marRight w:val="0"/>
      <w:marTop w:val="0"/>
      <w:marBottom w:val="0"/>
      <w:divBdr>
        <w:top w:val="none" w:sz="0" w:space="0" w:color="auto"/>
        <w:left w:val="none" w:sz="0" w:space="0" w:color="auto"/>
        <w:bottom w:val="none" w:sz="0" w:space="0" w:color="auto"/>
        <w:right w:val="none" w:sz="0" w:space="0" w:color="auto"/>
      </w:divBdr>
      <w:divsChild>
        <w:div w:id="1826043953">
          <w:marLeft w:val="0"/>
          <w:marRight w:val="0"/>
          <w:marTop w:val="0"/>
          <w:marBottom w:val="343"/>
          <w:divBdr>
            <w:top w:val="none" w:sz="0" w:space="0" w:color="auto"/>
            <w:left w:val="none" w:sz="0" w:space="0" w:color="auto"/>
            <w:bottom w:val="none" w:sz="0" w:space="0" w:color="auto"/>
            <w:right w:val="none" w:sz="0" w:space="0" w:color="auto"/>
          </w:divBdr>
        </w:div>
        <w:div w:id="1051731352">
          <w:marLeft w:val="0"/>
          <w:marRight w:val="0"/>
          <w:marTop w:val="0"/>
          <w:marBottom w:val="0"/>
          <w:divBdr>
            <w:top w:val="none" w:sz="0" w:space="0" w:color="auto"/>
            <w:left w:val="none" w:sz="0" w:space="0" w:color="auto"/>
            <w:bottom w:val="none" w:sz="0" w:space="0" w:color="auto"/>
            <w:right w:val="none" w:sz="0" w:space="0" w:color="auto"/>
          </w:divBdr>
        </w:div>
      </w:divsChild>
    </w:div>
    <w:div w:id="1542398895">
      <w:bodyDiv w:val="1"/>
      <w:marLeft w:val="0"/>
      <w:marRight w:val="0"/>
      <w:marTop w:val="0"/>
      <w:marBottom w:val="0"/>
      <w:divBdr>
        <w:top w:val="none" w:sz="0" w:space="0" w:color="auto"/>
        <w:left w:val="none" w:sz="0" w:space="0" w:color="auto"/>
        <w:bottom w:val="none" w:sz="0" w:space="0" w:color="auto"/>
        <w:right w:val="none" w:sz="0" w:space="0" w:color="auto"/>
      </w:divBdr>
    </w:div>
    <w:div w:id="1564557926">
      <w:bodyDiv w:val="1"/>
      <w:marLeft w:val="0"/>
      <w:marRight w:val="0"/>
      <w:marTop w:val="0"/>
      <w:marBottom w:val="0"/>
      <w:divBdr>
        <w:top w:val="none" w:sz="0" w:space="0" w:color="auto"/>
        <w:left w:val="none" w:sz="0" w:space="0" w:color="auto"/>
        <w:bottom w:val="none" w:sz="0" w:space="0" w:color="auto"/>
        <w:right w:val="none" w:sz="0" w:space="0" w:color="auto"/>
      </w:divBdr>
    </w:div>
    <w:div w:id="1570191402">
      <w:bodyDiv w:val="1"/>
      <w:marLeft w:val="0"/>
      <w:marRight w:val="0"/>
      <w:marTop w:val="0"/>
      <w:marBottom w:val="0"/>
      <w:divBdr>
        <w:top w:val="none" w:sz="0" w:space="0" w:color="auto"/>
        <w:left w:val="none" w:sz="0" w:space="0" w:color="auto"/>
        <w:bottom w:val="none" w:sz="0" w:space="0" w:color="auto"/>
        <w:right w:val="none" w:sz="0" w:space="0" w:color="auto"/>
      </w:divBdr>
    </w:div>
    <w:div w:id="1589388608">
      <w:bodyDiv w:val="1"/>
      <w:marLeft w:val="0"/>
      <w:marRight w:val="0"/>
      <w:marTop w:val="0"/>
      <w:marBottom w:val="0"/>
      <w:divBdr>
        <w:top w:val="none" w:sz="0" w:space="0" w:color="auto"/>
        <w:left w:val="none" w:sz="0" w:space="0" w:color="auto"/>
        <w:bottom w:val="none" w:sz="0" w:space="0" w:color="auto"/>
        <w:right w:val="none" w:sz="0" w:space="0" w:color="auto"/>
      </w:divBdr>
      <w:divsChild>
        <w:div w:id="1293712566">
          <w:marLeft w:val="0"/>
          <w:marRight w:val="0"/>
          <w:marTop w:val="0"/>
          <w:marBottom w:val="343"/>
          <w:divBdr>
            <w:top w:val="none" w:sz="0" w:space="0" w:color="auto"/>
            <w:left w:val="none" w:sz="0" w:space="0" w:color="auto"/>
            <w:bottom w:val="none" w:sz="0" w:space="0" w:color="auto"/>
            <w:right w:val="none" w:sz="0" w:space="0" w:color="auto"/>
          </w:divBdr>
        </w:div>
        <w:div w:id="1927227287">
          <w:marLeft w:val="0"/>
          <w:marRight w:val="0"/>
          <w:marTop w:val="0"/>
          <w:marBottom w:val="0"/>
          <w:divBdr>
            <w:top w:val="none" w:sz="0" w:space="0" w:color="auto"/>
            <w:left w:val="none" w:sz="0" w:space="0" w:color="auto"/>
            <w:bottom w:val="none" w:sz="0" w:space="0" w:color="auto"/>
            <w:right w:val="none" w:sz="0" w:space="0" w:color="auto"/>
          </w:divBdr>
        </w:div>
      </w:divsChild>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53369691">
      <w:bodyDiv w:val="1"/>
      <w:marLeft w:val="0"/>
      <w:marRight w:val="0"/>
      <w:marTop w:val="0"/>
      <w:marBottom w:val="0"/>
      <w:divBdr>
        <w:top w:val="none" w:sz="0" w:space="0" w:color="auto"/>
        <w:left w:val="none" w:sz="0" w:space="0" w:color="auto"/>
        <w:bottom w:val="none" w:sz="0" w:space="0" w:color="auto"/>
        <w:right w:val="none" w:sz="0" w:space="0" w:color="auto"/>
      </w:divBdr>
      <w:divsChild>
        <w:div w:id="1472556833">
          <w:marLeft w:val="0"/>
          <w:marRight w:val="0"/>
          <w:marTop w:val="0"/>
          <w:marBottom w:val="0"/>
          <w:divBdr>
            <w:top w:val="none" w:sz="0" w:space="0" w:color="auto"/>
            <w:left w:val="none" w:sz="0" w:space="0" w:color="auto"/>
            <w:bottom w:val="none" w:sz="0" w:space="0" w:color="auto"/>
            <w:right w:val="none" w:sz="0" w:space="0" w:color="auto"/>
          </w:divBdr>
          <w:divsChild>
            <w:div w:id="676808561">
              <w:marLeft w:val="0"/>
              <w:marRight w:val="0"/>
              <w:marTop w:val="0"/>
              <w:marBottom w:val="0"/>
              <w:divBdr>
                <w:top w:val="none" w:sz="0" w:space="0" w:color="auto"/>
                <w:left w:val="none" w:sz="0" w:space="0" w:color="auto"/>
                <w:bottom w:val="none" w:sz="0" w:space="0" w:color="auto"/>
                <w:right w:val="none" w:sz="0" w:space="0" w:color="auto"/>
              </w:divBdr>
              <w:divsChild>
                <w:div w:id="1742288561">
                  <w:marLeft w:val="0"/>
                  <w:marRight w:val="0"/>
                  <w:marTop w:val="0"/>
                  <w:marBottom w:val="343"/>
                  <w:divBdr>
                    <w:top w:val="none" w:sz="0" w:space="0" w:color="auto"/>
                    <w:left w:val="none" w:sz="0" w:space="0" w:color="auto"/>
                    <w:bottom w:val="none" w:sz="0" w:space="0" w:color="auto"/>
                    <w:right w:val="none" w:sz="0" w:space="0" w:color="auto"/>
                  </w:divBdr>
                </w:div>
                <w:div w:id="11174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5998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13525881">
      <w:bodyDiv w:val="1"/>
      <w:marLeft w:val="0"/>
      <w:marRight w:val="0"/>
      <w:marTop w:val="0"/>
      <w:marBottom w:val="0"/>
      <w:divBdr>
        <w:top w:val="none" w:sz="0" w:space="0" w:color="auto"/>
        <w:left w:val="none" w:sz="0" w:space="0" w:color="auto"/>
        <w:bottom w:val="none" w:sz="0" w:space="0" w:color="auto"/>
        <w:right w:val="none" w:sz="0" w:space="0" w:color="auto"/>
      </w:divBdr>
    </w:div>
    <w:div w:id="1823813715">
      <w:bodyDiv w:val="1"/>
      <w:marLeft w:val="0"/>
      <w:marRight w:val="0"/>
      <w:marTop w:val="0"/>
      <w:marBottom w:val="0"/>
      <w:divBdr>
        <w:top w:val="none" w:sz="0" w:space="0" w:color="auto"/>
        <w:left w:val="none" w:sz="0" w:space="0" w:color="auto"/>
        <w:bottom w:val="none" w:sz="0" w:space="0" w:color="auto"/>
        <w:right w:val="none" w:sz="0" w:space="0" w:color="auto"/>
      </w:divBdr>
    </w:div>
    <w:div w:id="1880119345">
      <w:bodyDiv w:val="1"/>
      <w:marLeft w:val="0"/>
      <w:marRight w:val="0"/>
      <w:marTop w:val="0"/>
      <w:marBottom w:val="0"/>
      <w:divBdr>
        <w:top w:val="none" w:sz="0" w:space="0" w:color="auto"/>
        <w:left w:val="none" w:sz="0" w:space="0" w:color="auto"/>
        <w:bottom w:val="none" w:sz="0" w:space="0" w:color="auto"/>
        <w:right w:val="none" w:sz="0" w:space="0" w:color="auto"/>
      </w:divBdr>
    </w:div>
    <w:div w:id="1883328139">
      <w:bodyDiv w:val="1"/>
      <w:marLeft w:val="0"/>
      <w:marRight w:val="0"/>
      <w:marTop w:val="0"/>
      <w:marBottom w:val="0"/>
      <w:divBdr>
        <w:top w:val="none" w:sz="0" w:space="0" w:color="auto"/>
        <w:left w:val="none" w:sz="0" w:space="0" w:color="auto"/>
        <w:bottom w:val="none" w:sz="0" w:space="0" w:color="auto"/>
        <w:right w:val="none" w:sz="0" w:space="0" w:color="auto"/>
      </w:divBdr>
    </w:div>
    <w:div w:id="1916552206">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72511610">
      <w:bodyDiv w:val="1"/>
      <w:marLeft w:val="0"/>
      <w:marRight w:val="0"/>
      <w:marTop w:val="0"/>
      <w:marBottom w:val="0"/>
      <w:divBdr>
        <w:top w:val="none" w:sz="0" w:space="0" w:color="auto"/>
        <w:left w:val="none" w:sz="0" w:space="0" w:color="auto"/>
        <w:bottom w:val="none" w:sz="0" w:space="0" w:color="auto"/>
        <w:right w:val="none" w:sz="0" w:space="0" w:color="auto"/>
      </w:divBdr>
      <w:divsChild>
        <w:div w:id="1285310045">
          <w:marLeft w:val="0"/>
          <w:marRight w:val="0"/>
          <w:marTop w:val="0"/>
          <w:marBottom w:val="0"/>
          <w:divBdr>
            <w:top w:val="none" w:sz="0" w:space="0" w:color="auto"/>
            <w:left w:val="none" w:sz="0" w:space="0" w:color="auto"/>
            <w:bottom w:val="none" w:sz="0" w:space="0" w:color="auto"/>
            <w:right w:val="none" w:sz="0" w:space="0" w:color="auto"/>
          </w:divBdr>
          <w:divsChild>
            <w:div w:id="973218310">
              <w:marLeft w:val="0"/>
              <w:marRight w:val="0"/>
              <w:marTop w:val="0"/>
              <w:marBottom w:val="0"/>
              <w:divBdr>
                <w:top w:val="none" w:sz="0" w:space="0" w:color="auto"/>
                <w:left w:val="none" w:sz="0" w:space="0" w:color="auto"/>
                <w:bottom w:val="none" w:sz="0" w:space="0" w:color="auto"/>
                <w:right w:val="none" w:sz="0" w:space="0" w:color="auto"/>
              </w:divBdr>
              <w:divsChild>
                <w:div w:id="2015841854">
                  <w:marLeft w:val="0"/>
                  <w:marRight w:val="0"/>
                  <w:marTop w:val="0"/>
                  <w:marBottom w:val="343"/>
                  <w:divBdr>
                    <w:top w:val="none" w:sz="0" w:space="0" w:color="auto"/>
                    <w:left w:val="none" w:sz="0" w:space="0" w:color="auto"/>
                    <w:bottom w:val="none" w:sz="0" w:space="0" w:color="auto"/>
                    <w:right w:val="none" w:sz="0" w:space="0" w:color="auto"/>
                  </w:divBdr>
                </w:div>
                <w:div w:id="9583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3394">
      <w:bodyDiv w:val="1"/>
      <w:marLeft w:val="0"/>
      <w:marRight w:val="0"/>
      <w:marTop w:val="0"/>
      <w:marBottom w:val="0"/>
      <w:divBdr>
        <w:top w:val="none" w:sz="0" w:space="0" w:color="auto"/>
        <w:left w:val="none" w:sz="0" w:space="0" w:color="auto"/>
        <w:bottom w:val="none" w:sz="0" w:space="0" w:color="auto"/>
        <w:right w:val="none" w:sz="0" w:space="0" w:color="auto"/>
      </w:divBdr>
    </w:div>
    <w:div w:id="2005669400">
      <w:bodyDiv w:val="1"/>
      <w:marLeft w:val="0"/>
      <w:marRight w:val="0"/>
      <w:marTop w:val="0"/>
      <w:marBottom w:val="0"/>
      <w:divBdr>
        <w:top w:val="none" w:sz="0" w:space="0" w:color="auto"/>
        <w:left w:val="none" w:sz="0" w:space="0" w:color="auto"/>
        <w:bottom w:val="none" w:sz="0" w:space="0" w:color="auto"/>
        <w:right w:val="none" w:sz="0" w:space="0" w:color="auto"/>
      </w:divBdr>
      <w:divsChild>
        <w:div w:id="33235983">
          <w:marLeft w:val="0"/>
          <w:marRight w:val="0"/>
          <w:marTop w:val="0"/>
          <w:marBottom w:val="0"/>
          <w:divBdr>
            <w:top w:val="none" w:sz="0" w:space="0" w:color="auto"/>
            <w:left w:val="none" w:sz="0" w:space="0" w:color="auto"/>
            <w:bottom w:val="none" w:sz="0" w:space="0" w:color="auto"/>
            <w:right w:val="none" w:sz="0" w:space="0" w:color="auto"/>
          </w:divBdr>
          <w:divsChild>
            <w:div w:id="1129475687">
              <w:marLeft w:val="0"/>
              <w:marRight w:val="0"/>
              <w:marTop w:val="0"/>
              <w:marBottom w:val="0"/>
              <w:divBdr>
                <w:top w:val="none" w:sz="0" w:space="0" w:color="auto"/>
                <w:left w:val="none" w:sz="0" w:space="0" w:color="auto"/>
                <w:bottom w:val="none" w:sz="0" w:space="0" w:color="auto"/>
                <w:right w:val="none" w:sz="0" w:space="0" w:color="auto"/>
              </w:divBdr>
              <w:divsChild>
                <w:div w:id="1297757183">
                  <w:marLeft w:val="0"/>
                  <w:marRight w:val="0"/>
                  <w:marTop w:val="0"/>
                  <w:marBottom w:val="343"/>
                  <w:divBdr>
                    <w:top w:val="none" w:sz="0" w:space="0" w:color="auto"/>
                    <w:left w:val="none" w:sz="0" w:space="0" w:color="auto"/>
                    <w:bottom w:val="none" w:sz="0" w:space="0" w:color="auto"/>
                    <w:right w:val="none" w:sz="0" w:space="0" w:color="auto"/>
                  </w:divBdr>
                </w:div>
                <w:div w:id="16815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 w:id="2097283182">
      <w:bodyDiv w:val="1"/>
      <w:marLeft w:val="0"/>
      <w:marRight w:val="0"/>
      <w:marTop w:val="0"/>
      <w:marBottom w:val="0"/>
      <w:divBdr>
        <w:top w:val="none" w:sz="0" w:space="0" w:color="auto"/>
        <w:left w:val="none" w:sz="0" w:space="0" w:color="auto"/>
        <w:bottom w:val="none" w:sz="0" w:space="0" w:color="auto"/>
        <w:right w:val="none" w:sz="0" w:space="0" w:color="auto"/>
      </w:divBdr>
    </w:div>
    <w:div w:id="21418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Emily Tilley</DisplayName>
        <AccountId>15</AccountId>
        <AccountType/>
      </UserInfo>
      <UserInfo>
        <DisplayName>Prudence Walker</DisplayName>
        <AccountId>7</AccountId>
        <AccountType/>
      </UserInfo>
    </SharedWithUsers>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3C2B-CAD0-4F26-BD95-2CFB07AB8051}">
  <ds:schemaRefs>
    <ds:schemaRef ds:uri="http://schemas.microsoft.com/sharepoint/v3/contenttype/forms"/>
  </ds:schemaRefs>
</ds:datastoreItem>
</file>

<file path=customXml/itemProps2.xml><?xml version="1.0" encoding="utf-8"?>
<ds:datastoreItem xmlns:ds="http://schemas.openxmlformats.org/officeDocument/2006/customXml" ds:itemID="{099D4C5C-0DD6-4D73-B6E6-C5A014992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D0901-8148-4B25-97E3-5352D57C8DD4}">
  <ds:schemaRefs>
    <ds:schemaRef ds:uri="http://schemas.microsoft.com/office/2006/metadata/properties"/>
    <ds:schemaRef ds:uri="http://schemas.microsoft.com/office/infopath/2007/PartnerControls"/>
    <ds:schemaRef ds:uri="d2301f34-5cde-48a5-92d5-a0089b6a6a0e"/>
    <ds:schemaRef ds:uri="c67b1871-600f-4b9e-a4b1-ab314be2ee20"/>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10652</Words>
  <Characters>60721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71231</CharactersWithSpaces>
  <SharedDoc>false</SharedDoc>
  <HLinks>
    <vt:vector size="306" baseType="variant">
      <vt:variant>
        <vt:i4>1703988</vt:i4>
      </vt:variant>
      <vt:variant>
        <vt:i4>302</vt:i4>
      </vt:variant>
      <vt:variant>
        <vt:i4>0</vt:i4>
      </vt:variant>
      <vt:variant>
        <vt:i4>5</vt:i4>
      </vt:variant>
      <vt:variant>
        <vt:lpwstr/>
      </vt:variant>
      <vt:variant>
        <vt:lpwstr>_Toc132718616</vt:lpwstr>
      </vt:variant>
      <vt:variant>
        <vt:i4>1703988</vt:i4>
      </vt:variant>
      <vt:variant>
        <vt:i4>296</vt:i4>
      </vt:variant>
      <vt:variant>
        <vt:i4>0</vt:i4>
      </vt:variant>
      <vt:variant>
        <vt:i4>5</vt:i4>
      </vt:variant>
      <vt:variant>
        <vt:lpwstr/>
      </vt:variant>
      <vt:variant>
        <vt:lpwstr>_Toc132718615</vt:lpwstr>
      </vt:variant>
      <vt:variant>
        <vt:i4>1703988</vt:i4>
      </vt:variant>
      <vt:variant>
        <vt:i4>290</vt:i4>
      </vt:variant>
      <vt:variant>
        <vt:i4>0</vt:i4>
      </vt:variant>
      <vt:variant>
        <vt:i4>5</vt:i4>
      </vt:variant>
      <vt:variant>
        <vt:lpwstr/>
      </vt:variant>
      <vt:variant>
        <vt:lpwstr>_Toc132718614</vt:lpwstr>
      </vt:variant>
      <vt:variant>
        <vt:i4>1703988</vt:i4>
      </vt:variant>
      <vt:variant>
        <vt:i4>284</vt:i4>
      </vt:variant>
      <vt:variant>
        <vt:i4>0</vt:i4>
      </vt:variant>
      <vt:variant>
        <vt:i4>5</vt:i4>
      </vt:variant>
      <vt:variant>
        <vt:lpwstr/>
      </vt:variant>
      <vt:variant>
        <vt:lpwstr>_Toc132718613</vt:lpwstr>
      </vt:variant>
      <vt:variant>
        <vt:i4>1703988</vt:i4>
      </vt:variant>
      <vt:variant>
        <vt:i4>278</vt:i4>
      </vt:variant>
      <vt:variant>
        <vt:i4>0</vt:i4>
      </vt:variant>
      <vt:variant>
        <vt:i4>5</vt:i4>
      </vt:variant>
      <vt:variant>
        <vt:lpwstr/>
      </vt:variant>
      <vt:variant>
        <vt:lpwstr>_Toc132718612</vt:lpwstr>
      </vt:variant>
      <vt:variant>
        <vt:i4>1703988</vt:i4>
      </vt:variant>
      <vt:variant>
        <vt:i4>272</vt:i4>
      </vt:variant>
      <vt:variant>
        <vt:i4>0</vt:i4>
      </vt:variant>
      <vt:variant>
        <vt:i4>5</vt:i4>
      </vt:variant>
      <vt:variant>
        <vt:lpwstr/>
      </vt:variant>
      <vt:variant>
        <vt:lpwstr>_Toc132718611</vt:lpwstr>
      </vt:variant>
      <vt:variant>
        <vt:i4>1703988</vt:i4>
      </vt:variant>
      <vt:variant>
        <vt:i4>266</vt:i4>
      </vt:variant>
      <vt:variant>
        <vt:i4>0</vt:i4>
      </vt:variant>
      <vt:variant>
        <vt:i4>5</vt:i4>
      </vt:variant>
      <vt:variant>
        <vt:lpwstr/>
      </vt:variant>
      <vt:variant>
        <vt:lpwstr>_Toc132718610</vt:lpwstr>
      </vt:variant>
      <vt:variant>
        <vt:i4>1769524</vt:i4>
      </vt:variant>
      <vt:variant>
        <vt:i4>260</vt:i4>
      </vt:variant>
      <vt:variant>
        <vt:i4>0</vt:i4>
      </vt:variant>
      <vt:variant>
        <vt:i4>5</vt:i4>
      </vt:variant>
      <vt:variant>
        <vt:lpwstr/>
      </vt:variant>
      <vt:variant>
        <vt:lpwstr>_Toc132718609</vt:lpwstr>
      </vt:variant>
      <vt:variant>
        <vt:i4>1769524</vt:i4>
      </vt:variant>
      <vt:variant>
        <vt:i4>254</vt:i4>
      </vt:variant>
      <vt:variant>
        <vt:i4>0</vt:i4>
      </vt:variant>
      <vt:variant>
        <vt:i4>5</vt:i4>
      </vt:variant>
      <vt:variant>
        <vt:lpwstr/>
      </vt:variant>
      <vt:variant>
        <vt:lpwstr>_Toc132718608</vt:lpwstr>
      </vt:variant>
      <vt:variant>
        <vt:i4>1769524</vt:i4>
      </vt:variant>
      <vt:variant>
        <vt:i4>248</vt:i4>
      </vt:variant>
      <vt:variant>
        <vt:i4>0</vt:i4>
      </vt:variant>
      <vt:variant>
        <vt:i4>5</vt:i4>
      </vt:variant>
      <vt:variant>
        <vt:lpwstr/>
      </vt:variant>
      <vt:variant>
        <vt:lpwstr>_Toc132718607</vt:lpwstr>
      </vt:variant>
      <vt:variant>
        <vt:i4>1769524</vt:i4>
      </vt:variant>
      <vt:variant>
        <vt:i4>242</vt:i4>
      </vt:variant>
      <vt:variant>
        <vt:i4>0</vt:i4>
      </vt:variant>
      <vt:variant>
        <vt:i4>5</vt:i4>
      </vt:variant>
      <vt:variant>
        <vt:lpwstr/>
      </vt:variant>
      <vt:variant>
        <vt:lpwstr>_Toc132718606</vt:lpwstr>
      </vt:variant>
      <vt:variant>
        <vt:i4>1769524</vt:i4>
      </vt:variant>
      <vt:variant>
        <vt:i4>236</vt:i4>
      </vt:variant>
      <vt:variant>
        <vt:i4>0</vt:i4>
      </vt:variant>
      <vt:variant>
        <vt:i4>5</vt:i4>
      </vt:variant>
      <vt:variant>
        <vt:lpwstr/>
      </vt:variant>
      <vt:variant>
        <vt:lpwstr>_Toc132718605</vt:lpwstr>
      </vt:variant>
      <vt:variant>
        <vt:i4>1769524</vt:i4>
      </vt:variant>
      <vt:variant>
        <vt:i4>230</vt:i4>
      </vt:variant>
      <vt:variant>
        <vt:i4>0</vt:i4>
      </vt:variant>
      <vt:variant>
        <vt:i4>5</vt:i4>
      </vt:variant>
      <vt:variant>
        <vt:lpwstr/>
      </vt:variant>
      <vt:variant>
        <vt:lpwstr>_Toc132718604</vt:lpwstr>
      </vt:variant>
      <vt:variant>
        <vt:i4>1769524</vt:i4>
      </vt:variant>
      <vt:variant>
        <vt:i4>224</vt:i4>
      </vt:variant>
      <vt:variant>
        <vt:i4>0</vt:i4>
      </vt:variant>
      <vt:variant>
        <vt:i4>5</vt:i4>
      </vt:variant>
      <vt:variant>
        <vt:lpwstr/>
      </vt:variant>
      <vt:variant>
        <vt:lpwstr>_Toc132718603</vt:lpwstr>
      </vt:variant>
      <vt:variant>
        <vt:i4>1769524</vt:i4>
      </vt:variant>
      <vt:variant>
        <vt:i4>218</vt:i4>
      </vt:variant>
      <vt:variant>
        <vt:i4>0</vt:i4>
      </vt:variant>
      <vt:variant>
        <vt:i4>5</vt:i4>
      </vt:variant>
      <vt:variant>
        <vt:lpwstr/>
      </vt:variant>
      <vt:variant>
        <vt:lpwstr>_Toc132718602</vt:lpwstr>
      </vt:variant>
      <vt:variant>
        <vt:i4>1769524</vt:i4>
      </vt:variant>
      <vt:variant>
        <vt:i4>212</vt:i4>
      </vt:variant>
      <vt:variant>
        <vt:i4>0</vt:i4>
      </vt:variant>
      <vt:variant>
        <vt:i4>5</vt:i4>
      </vt:variant>
      <vt:variant>
        <vt:lpwstr/>
      </vt:variant>
      <vt:variant>
        <vt:lpwstr>_Toc132718601</vt:lpwstr>
      </vt:variant>
      <vt:variant>
        <vt:i4>1769524</vt:i4>
      </vt:variant>
      <vt:variant>
        <vt:i4>206</vt:i4>
      </vt:variant>
      <vt:variant>
        <vt:i4>0</vt:i4>
      </vt:variant>
      <vt:variant>
        <vt:i4>5</vt:i4>
      </vt:variant>
      <vt:variant>
        <vt:lpwstr/>
      </vt:variant>
      <vt:variant>
        <vt:lpwstr>_Toc132718600</vt:lpwstr>
      </vt:variant>
      <vt:variant>
        <vt:i4>1179703</vt:i4>
      </vt:variant>
      <vt:variant>
        <vt:i4>200</vt:i4>
      </vt:variant>
      <vt:variant>
        <vt:i4>0</vt:i4>
      </vt:variant>
      <vt:variant>
        <vt:i4>5</vt:i4>
      </vt:variant>
      <vt:variant>
        <vt:lpwstr/>
      </vt:variant>
      <vt:variant>
        <vt:lpwstr>_Toc132718599</vt:lpwstr>
      </vt:variant>
      <vt:variant>
        <vt:i4>1179703</vt:i4>
      </vt:variant>
      <vt:variant>
        <vt:i4>194</vt:i4>
      </vt:variant>
      <vt:variant>
        <vt:i4>0</vt:i4>
      </vt:variant>
      <vt:variant>
        <vt:i4>5</vt:i4>
      </vt:variant>
      <vt:variant>
        <vt:lpwstr/>
      </vt:variant>
      <vt:variant>
        <vt:lpwstr>_Toc132718598</vt:lpwstr>
      </vt:variant>
      <vt:variant>
        <vt:i4>1179703</vt:i4>
      </vt:variant>
      <vt:variant>
        <vt:i4>188</vt:i4>
      </vt:variant>
      <vt:variant>
        <vt:i4>0</vt:i4>
      </vt:variant>
      <vt:variant>
        <vt:i4>5</vt:i4>
      </vt:variant>
      <vt:variant>
        <vt:lpwstr/>
      </vt:variant>
      <vt:variant>
        <vt:lpwstr>_Toc132718597</vt:lpwstr>
      </vt:variant>
      <vt:variant>
        <vt:i4>1179703</vt:i4>
      </vt:variant>
      <vt:variant>
        <vt:i4>182</vt:i4>
      </vt:variant>
      <vt:variant>
        <vt:i4>0</vt:i4>
      </vt:variant>
      <vt:variant>
        <vt:i4>5</vt:i4>
      </vt:variant>
      <vt:variant>
        <vt:lpwstr/>
      </vt:variant>
      <vt:variant>
        <vt:lpwstr>_Toc132718596</vt:lpwstr>
      </vt:variant>
      <vt:variant>
        <vt:i4>1179703</vt:i4>
      </vt:variant>
      <vt:variant>
        <vt:i4>176</vt:i4>
      </vt:variant>
      <vt:variant>
        <vt:i4>0</vt:i4>
      </vt:variant>
      <vt:variant>
        <vt:i4>5</vt:i4>
      </vt:variant>
      <vt:variant>
        <vt:lpwstr/>
      </vt:variant>
      <vt:variant>
        <vt:lpwstr>_Toc132718595</vt:lpwstr>
      </vt:variant>
      <vt:variant>
        <vt:i4>1179703</vt:i4>
      </vt:variant>
      <vt:variant>
        <vt:i4>170</vt:i4>
      </vt:variant>
      <vt:variant>
        <vt:i4>0</vt:i4>
      </vt:variant>
      <vt:variant>
        <vt:i4>5</vt:i4>
      </vt:variant>
      <vt:variant>
        <vt:lpwstr/>
      </vt:variant>
      <vt:variant>
        <vt:lpwstr>_Toc132718594</vt:lpwstr>
      </vt:variant>
      <vt:variant>
        <vt:i4>1179703</vt:i4>
      </vt:variant>
      <vt:variant>
        <vt:i4>164</vt:i4>
      </vt:variant>
      <vt:variant>
        <vt:i4>0</vt:i4>
      </vt:variant>
      <vt:variant>
        <vt:i4>5</vt:i4>
      </vt:variant>
      <vt:variant>
        <vt:lpwstr/>
      </vt:variant>
      <vt:variant>
        <vt:lpwstr>_Toc132718593</vt:lpwstr>
      </vt:variant>
      <vt:variant>
        <vt:i4>1179703</vt:i4>
      </vt:variant>
      <vt:variant>
        <vt:i4>158</vt:i4>
      </vt:variant>
      <vt:variant>
        <vt:i4>0</vt:i4>
      </vt:variant>
      <vt:variant>
        <vt:i4>5</vt:i4>
      </vt:variant>
      <vt:variant>
        <vt:lpwstr/>
      </vt:variant>
      <vt:variant>
        <vt:lpwstr>_Toc132718592</vt:lpwstr>
      </vt:variant>
      <vt:variant>
        <vt:i4>1179703</vt:i4>
      </vt:variant>
      <vt:variant>
        <vt:i4>152</vt:i4>
      </vt:variant>
      <vt:variant>
        <vt:i4>0</vt:i4>
      </vt:variant>
      <vt:variant>
        <vt:i4>5</vt:i4>
      </vt:variant>
      <vt:variant>
        <vt:lpwstr/>
      </vt:variant>
      <vt:variant>
        <vt:lpwstr>_Toc132718591</vt:lpwstr>
      </vt:variant>
      <vt:variant>
        <vt:i4>1179703</vt:i4>
      </vt:variant>
      <vt:variant>
        <vt:i4>146</vt:i4>
      </vt:variant>
      <vt:variant>
        <vt:i4>0</vt:i4>
      </vt:variant>
      <vt:variant>
        <vt:i4>5</vt:i4>
      </vt:variant>
      <vt:variant>
        <vt:lpwstr/>
      </vt:variant>
      <vt:variant>
        <vt:lpwstr>_Toc132718590</vt:lpwstr>
      </vt:variant>
      <vt:variant>
        <vt:i4>1245239</vt:i4>
      </vt:variant>
      <vt:variant>
        <vt:i4>140</vt:i4>
      </vt:variant>
      <vt:variant>
        <vt:i4>0</vt:i4>
      </vt:variant>
      <vt:variant>
        <vt:i4>5</vt:i4>
      </vt:variant>
      <vt:variant>
        <vt:lpwstr/>
      </vt:variant>
      <vt:variant>
        <vt:lpwstr>_Toc132718589</vt:lpwstr>
      </vt:variant>
      <vt:variant>
        <vt:i4>1245239</vt:i4>
      </vt:variant>
      <vt:variant>
        <vt:i4>134</vt:i4>
      </vt:variant>
      <vt:variant>
        <vt:i4>0</vt:i4>
      </vt:variant>
      <vt:variant>
        <vt:i4>5</vt:i4>
      </vt:variant>
      <vt:variant>
        <vt:lpwstr/>
      </vt:variant>
      <vt:variant>
        <vt:lpwstr>_Toc132718588</vt:lpwstr>
      </vt:variant>
      <vt:variant>
        <vt:i4>1245239</vt:i4>
      </vt:variant>
      <vt:variant>
        <vt:i4>128</vt:i4>
      </vt:variant>
      <vt:variant>
        <vt:i4>0</vt:i4>
      </vt:variant>
      <vt:variant>
        <vt:i4>5</vt:i4>
      </vt:variant>
      <vt:variant>
        <vt:lpwstr/>
      </vt:variant>
      <vt:variant>
        <vt:lpwstr>_Toc132718587</vt:lpwstr>
      </vt:variant>
      <vt:variant>
        <vt:i4>1245239</vt:i4>
      </vt:variant>
      <vt:variant>
        <vt:i4>122</vt:i4>
      </vt:variant>
      <vt:variant>
        <vt:i4>0</vt:i4>
      </vt:variant>
      <vt:variant>
        <vt:i4>5</vt:i4>
      </vt:variant>
      <vt:variant>
        <vt:lpwstr/>
      </vt:variant>
      <vt:variant>
        <vt:lpwstr>_Toc132718586</vt:lpwstr>
      </vt:variant>
      <vt:variant>
        <vt:i4>1245239</vt:i4>
      </vt:variant>
      <vt:variant>
        <vt:i4>116</vt:i4>
      </vt:variant>
      <vt:variant>
        <vt:i4>0</vt:i4>
      </vt:variant>
      <vt:variant>
        <vt:i4>5</vt:i4>
      </vt:variant>
      <vt:variant>
        <vt:lpwstr/>
      </vt:variant>
      <vt:variant>
        <vt:lpwstr>_Toc132718585</vt:lpwstr>
      </vt:variant>
      <vt:variant>
        <vt:i4>1245239</vt:i4>
      </vt:variant>
      <vt:variant>
        <vt:i4>110</vt:i4>
      </vt:variant>
      <vt:variant>
        <vt:i4>0</vt:i4>
      </vt:variant>
      <vt:variant>
        <vt:i4>5</vt:i4>
      </vt:variant>
      <vt:variant>
        <vt:lpwstr/>
      </vt:variant>
      <vt:variant>
        <vt:lpwstr>_Toc132718584</vt:lpwstr>
      </vt:variant>
      <vt:variant>
        <vt:i4>1245239</vt:i4>
      </vt:variant>
      <vt:variant>
        <vt:i4>104</vt:i4>
      </vt:variant>
      <vt:variant>
        <vt:i4>0</vt:i4>
      </vt:variant>
      <vt:variant>
        <vt:i4>5</vt:i4>
      </vt:variant>
      <vt:variant>
        <vt:lpwstr/>
      </vt:variant>
      <vt:variant>
        <vt:lpwstr>_Toc132718583</vt:lpwstr>
      </vt:variant>
      <vt:variant>
        <vt:i4>1245239</vt:i4>
      </vt:variant>
      <vt:variant>
        <vt:i4>98</vt:i4>
      </vt:variant>
      <vt:variant>
        <vt:i4>0</vt:i4>
      </vt:variant>
      <vt:variant>
        <vt:i4>5</vt:i4>
      </vt:variant>
      <vt:variant>
        <vt:lpwstr/>
      </vt:variant>
      <vt:variant>
        <vt:lpwstr>_Toc132718582</vt:lpwstr>
      </vt:variant>
      <vt:variant>
        <vt:i4>1245239</vt:i4>
      </vt:variant>
      <vt:variant>
        <vt:i4>92</vt:i4>
      </vt:variant>
      <vt:variant>
        <vt:i4>0</vt:i4>
      </vt:variant>
      <vt:variant>
        <vt:i4>5</vt:i4>
      </vt:variant>
      <vt:variant>
        <vt:lpwstr/>
      </vt:variant>
      <vt:variant>
        <vt:lpwstr>_Toc132718581</vt:lpwstr>
      </vt:variant>
      <vt:variant>
        <vt:i4>1245239</vt:i4>
      </vt:variant>
      <vt:variant>
        <vt:i4>86</vt:i4>
      </vt:variant>
      <vt:variant>
        <vt:i4>0</vt:i4>
      </vt:variant>
      <vt:variant>
        <vt:i4>5</vt:i4>
      </vt:variant>
      <vt:variant>
        <vt:lpwstr/>
      </vt:variant>
      <vt:variant>
        <vt:lpwstr>_Toc132718580</vt:lpwstr>
      </vt:variant>
      <vt:variant>
        <vt:i4>1835063</vt:i4>
      </vt:variant>
      <vt:variant>
        <vt:i4>80</vt:i4>
      </vt:variant>
      <vt:variant>
        <vt:i4>0</vt:i4>
      </vt:variant>
      <vt:variant>
        <vt:i4>5</vt:i4>
      </vt:variant>
      <vt:variant>
        <vt:lpwstr/>
      </vt:variant>
      <vt:variant>
        <vt:lpwstr>_Toc132718579</vt:lpwstr>
      </vt:variant>
      <vt:variant>
        <vt:i4>1835063</vt:i4>
      </vt:variant>
      <vt:variant>
        <vt:i4>74</vt:i4>
      </vt:variant>
      <vt:variant>
        <vt:i4>0</vt:i4>
      </vt:variant>
      <vt:variant>
        <vt:i4>5</vt:i4>
      </vt:variant>
      <vt:variant>
        <vt:lpwstr/>
      </vt:variant>
      <vt:variant>
        <vt:lpwstr>_Toc132718578</vt:lpwstr>
      </vt:variant>
      <vt:variant>
        <vt:i4>1835063</vt:i4>
      </vt:variant>
      <vt:variant>
        <vt:i4>68</vt:i4>
      </vt:variant>
      <vt:variant>
        <vt:i4>0</vt:i4>
      </vt:variant>
      <vt:variant>
        <vt:i4>5</vt:i4>
      </vt:variant>
      <vt:variant>
        <vt:lpwstr/>
      </vt:variant>
      <vt:variant>
        <vt:lpwstr>_Toc132718577</vt:lpwstr>
      </vt:variant>
      <vt:variant>
        <vt:i4>1835063</vt:i4>
      </vt:variant>
      <vt:variant>
        <vt:i4>62</vt:i4>
      </vt:variant>
      <vt:variant>
        <vt:i4>0</vt:i4>
      </vt:variant>
      <vt:variant>
        <vt:i4>5</vt:i4>
      </vt:variant>
      <vt:variant>
        <vt:lpwstr/>
      </vt:variant>
      <vt:variant>
        <vt:lpwstr>_Toc132718576</vt:lpwstr>
      </vt:variant>
      <vt:variant>
        <vt:i4>1835063</vt:i4>
      </vt:variant>
      <vt:variant>
        <vt:i4>56</vt:i4>
      </vt:variant>
      <vt:variant>
        <vt:i4>0</vt:i4>
      </vt:variant>
      <vt:variant>
        <vt:i4>5</vt:i4>
      </vt:variant>
      <vt:variant>
        <vt:lpwstr/>
      </vt:variant>
      <vt:variant>
        <vt:lpwstr>_Toc132718575</vt:lpwstr>
      </vt:variant>
      <vt:variant>
        <vt:i4>1835063</vt:i4>
      </vt:variant>
      <vt:variant>
        <vt:i4>50</vt:i4>
      </vt:variant>
      <vt:variant>
        <vt:i4>0</vt:i4>
      </vt:variant>
      <vt:variant>
        <vt:i4>5</vt:i4>
      </vt:variant>
      <vt:variant>
        <vt:lpwstr/>
      </vt:variant>
      <vt:variant>
        <vt:lpwstr>_Toc132718574</vt:lpwstr>
      </vt:variant>
      <vt:variant>
        <vt:i4>1835063</vt:i4>
      </vt:variant>
      <vt:variant>
        <vt:i4>44</vt:i4>
      </vt:variant>
      <vt:variant>
        <vt:i4>0</vt:i4>
      </vt:variant>
      <vt:variant>
        <vt:i4>5</vt:i4>
      </vt:variant>
      <vt:variant>
        <vt:lpwstr/>
      </vt:variant>
      <vt:variant>
        <vt:lpwstr>_Toc132718573</vt:lpwstr>
      </vt:variant>
      <vt:variant>
        <vt:i4>1835063</vt:i4>
      </vt:variant>
      <vt:variant>
        <vt:i4>38</vt:i4>
      </vt:variant>
      <vt:variant>
        <vt:i4>0</vt:i4>
      </vt:variant>
      <vt:variant>
        <vt:i4>5</vt:i4>
      </vt:variant>
      <vt:variant>
        <vt:lpwstr/>
      </vt:variant>
      <vt:variant>
        <vt:lpwstr>_Toc132718572</vt:lpwstr>
      </vt:variant>
      <vt:variant>
        <vt:i4>1835063</vt:i4>
      </vt:variant>
      <vt:variant>
        <vt:i4>32</vt:i4>
      </vt:variant>
      <vt:variant>
        <vt:i4>0</vt:i4>
      </vt:variant>
      <vt:variant>
        <vt:i4>5</vt:i4>
      </vt:variant>
      <vt:variant>
        <vt:lpwstr/>
      </vt:variant>
      <vt:variant>
        <vt:lpwstr>_Toc132718571</vt:lpwstr>
      </vt:variant>
      <vt:variant>
        <vt:i4>1835063</vt:i4>
      </vt:variant>
      <vt:variant>
        <vt:i4>26</vt:i4>
      </vt:variant>
      <vt:variant>
        <vt:i4>0</vt:i4>
      </vt:variant>
      <vt:variant>
        <vt:i4>5</vt:i4>
      </vt:variant>
      <vt:variant>
        <vt:lpwstr/>
      </vt:variant>
      <vt:variant>
        <vt:lpwstr>_Toc132718570</vt:lpwstr>
      </vt:variant>
      <vt:variant>
        <vt:i4>1900599</vt:i4>
      </vt:variant>
      <vt:variant>
        <vt:i4>20</vt:i4>
      </vt:variant>
      <vt:variant>
        <vt:i4>0</vt:i4>
      </vt:variant>
      <vt:variant>
        <vt:i4>5</vt:i4>
      </vt:variant>
      <vt:variant>
        <vt:lpwstr/>
      </vt:variant>
      <vt:variant>
        <vt:lpwstr>_Toc132718569</vt:lpwstr>
      </vt:variant>
      <vt:variant>
        <vt:i4>1900599</vt:i4>
      </vt:variant>
      <vt:variant>
        <vt:i4>14</vt:i4>
      </vt:variant>
      <vt:variant>
        <vt:i4>0</vt:i4>
      </vt:variant>
      <vt:variant>
        <vt:i4>5</vt:i4>
      </vt:variant>
      <vt:variant>
        <vt:lpwstr/>
      </vt:variant>
      <vt:variant>
        <vt:lpwstr>_Toc132718568</vt:lpwstr>
      </vt:variant>
      <vt:variant>
        <vt:i4>1900599</vt:i4>
      </vt:variant>
      <vt:variant>
        <vt:i4>8</vt:i4>
      </vt:variant>
      <vt:variant>
        <vt:i4>0</vt:i4>
      </vt:variant>
      <vt:variant>
        <vt:i4>5</vt:i4>
      </vt:variant>
      <vt:variant>
        <vt:lpwstr/>
      </vt:variant>
      <vt:variant>
        <vt:lpwstr>_Toc132718567</vt:lpwstr>
      </vt:variant>
      <vt:variant>
        <vt:i4>1900599</vt:i4>
      </vt:variant>
      <vt:variant>
        <vt:i4>2</vt:i4>
      </vt:variant>
      <vt:variant>
        <vt:i4>0</vt:i4>
      </vt:variant>
      <vt:variant>
        <vt:i4>5</vt:i4>
      </vt:variant>
      <vt:variant>
        <vt:lpwstr/>
      </vt:variant>
      <vt:variant>
        <vt:lpwstr>_Toc132718566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2022-07-03T09:52:00Z</cp:lastPrinted>
  <dcterms:created xsi:type="dcterms:W3CDTF">2023-04-22T23:16:00Z</dcterms:created>
  <dcterms:modified xsi:type="dcterms:W3CDTF">2023-04-22T23:16:00Z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