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C9D18" w14:textId="77777777" w:rsidR="000B12E1" w:rsidRPr="0081731C" w:rsidRDefault="000B12E1" w:rsidP="0081731C">
      <w:pPr>
        <w:rPr>
          <w:b/>
          <w:bCs/>
          <w:sz w:val="32"/>
          <w:szCs w:val="32"/>
          <w:lang w:val="en-GB"/>
        </w:rPr>
      </w:pPr>
      <w:r w:rsidRPr="0081731C">
        <w:rPr>
          <w:b/>
          <w:bCs/>
          <w:noProof/>
          <w:sz w:val="32"/>
          <w:szCs w:val="32"/>
          <w:lang w:val="en-GB"/>
        </w:rPr>
        <w:drawing>
          <wp:anchor distT="0" distB="0" distL="114300" distR="114300" simplePos="0" relativeHeight="251658240" behindDoc="0" locked="0" layoutInCell="1" allowOverlap="1" wp14:anchorId="6D818AFD" wp14:editId="41A457AD">
            <wp:simplePos x="0" y="0"/>
            <wp:positionH relativeFrom="column">
              <wp:posOffset>4324350</wp:posOffset>
            </wp:positionH>
            <wp:positionV relativeFrom="paragraph">
              <wp:posOffset>-63903</wp:posOffset>
            </wp:positionV>
            <wp:extent cx="1544834" cy="1035798"/>
            <wp:effectExtent l="0" t="0" r="0" b="0"/>
            <wp:wrapNone/>
            <wp:docPr id="2" name="Picture 2" descr="A whole new attitude. Disabled Persons Assembly 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4834" cy="1035798"/>
                    </a:xfrm>
                    <a:prstGeom prst="rect">
                      <a:avLst/>
                    </a:prstGeom>
                  </pic:spPr>
                </pic:pic>
              </a:graphicData>
            </a:graphic>
            <wp14:sizeRelH relativeFrom="page">
              <wp14:pctWidth>0</wp14:pctWidth>
            </wp14:sizeRelH>
            <wp14:sizeRelV relativeFrom="page">
              <wp14:pctHeight>0</wp14:pctHeight>
            </wp14:sizeRelV>
          </wp:anchor>
        </w:drawing>
      </w:r>
      <w:r w:rsidRPr="0081731C">
        <w:rPr>
          <w:b/>
          <w:bCs/>
          <w:sz w:val="32"/>
          <w:szCs w:val="32"/>
          <w:lang w:val="en-GB"/>
        </w:rPr>
        <w:t>Equity in employment for disabled people</w:t>
      </w:r>
    </w:p>
    <w:p w14:paraId="1A67D359" w14:textId="77777777" w:rsidR="0081731C" w:rsidRPr="00142658" w:rsidRDefault="0081731C" w:rsidP="0081731C">
      <w:pPr>
        <w:pStyle w:val="Heading1"/>
      </w:pPr>
      <w:bookmarkStart w:id="0" w:name="_Toc112327345"/>
      <w:r>
        <w:t xml:space="preserve">Systemic </w:t>
      </w:r>
      <w:r w:rsidRPr="00172243">
        <w:t>Barriers</w:t>
      </w:r>
      <w:r>
        <w:t xml:space="preserve"> to Employment</w:t>
      </w:r>
      <w:bookmarkEnd w:id="0"/>
    </w:p>
    <w:p w14:paraId="1C23D048" w14:textId="77777777" w:rsidR="0081731C" w:rsidRPr="008571E4" w:rsidRDefault="0081731C" w:rsidP="0081731C">
      <w:r>
        <w:t>There are many systemic issues that affect disabled people’s full participation in society, particularly in relation to employment. For example, societal attitudes, transport, housing, digital inequity, and the devaluation of disabled people.</w:t>
      </w:r>
      <w:r w:rsidRPr="009618EC">
        <w:t xml:space="preserve"> </w:t>
      </w:r>
      <w:r>
        <w:t>Unemployment has a detrimental impact on health and wellbeing and disabled people’s i</w:t>
      </w:r>
      <w:r w:rsidRPr="008571E4">
        <w:t xml:space="preserve">nequitable access to employment </w:t>
      </w:r>
      <w:r>
        <w:t>add to already</w:t>
      </w:r>
      <w:r w:rsidRPr="008571E4">
        <w:t xml:space="preserve"> poor </w:t>
      </w:r>
      <w:r>
        <w:t xml:space="preserve">health and social </w:t>
      </w:r>
      <w:r w:rsidRPr="008571E4">
        <w:t>outcome</w:t>
      </w:r>
      <w:r>
        <w:t>s.</w:t>
      </w:r>
      <w:r>
        <w:rPr>
          <w:rStyle w:val="EndnoteReference"/>
        </w:rPr>
        <w:endnoteReference w:id="2"/>
      </w:r>
    </w:p>
    <w:p w14:paraId="24FA108E" w14:textId="77777777" w:rsidR="0081731C" w:rsidRDefault="0081731C" w:rsidP="0081731C">
      <w:pPr>
        <w:pStyle w:val="Heading2"/>
      </w:pPr>
      <w:bookmarkStart w:id="1" w:name="_Toc106639956"/>
      <w:bookmarkStart w:id="2" w:name="_Toc112327346"/>
      <w:r w:rsidRPr="00172243">
        <w:t>Societal</w:t>
      </w:r>
      <w:r>
        <w:t xml:space="preserve"> Attitudes</w:t>
      </w:r>
      <w:bookmarkEnd w:id="1"/>
      <w:bookmarkEnd w:id="2"/>
    </w:p>
    <w:p w14:paraId="2859EC7B" w14:textId="77777777" w:rsidR="0081731C" w:rsidRDefault="0081731C" w:rsidP="0081731C">
      <w:pPr>
        <w:rPr>
          <w:lang w:eastAsia="en-NZ"/>
        </w:rPr>
      </w:pPr>
      <w:r w:rsidRPr="00544E52">
        <w:rPr>
          <w:lang w:eastAsia="en-NZ"/>
        </w:rPr>
        <w:t xml:space="preserve">Limited employment opportunities and employer attitudes </w:t>
      </w:r>
      <w:r>
        <w:rPr>
          <w:lang w:eastAsia="en-NZ"/>
        </w:rPr>
        <w:t>create barriers to employment for</w:t>
      </w:r>
      <w:r w:rsidRPr="00544E52">
        <w:rPr>
          <w:lang w:eastAsia="en-NZ"/>
        </w:rPr>
        <w:t xml:space="preserve"> disabled pe</w:t>
      </w:r>
      <w:r>
        <w:rPr>
          <w:lang w:eastAsia="en-NZ"/>
        </w:rPr>
        <w:t>ople to</w:t>
      </w:r>
      <w:r w:rsidRPr="00544E52">
        <w:rPr>
          <w:lang w:eastAsia="en-NZ"/>
        </w:rPr>
        <w:t xml:space="preserve"> gain</w:t>
      </w:r>
      <w:r>
        <w:rPr>
          <w:lang w:eastAsia="en-NZ"/>
        </w:rPr>
        <w:t xml:space="preserve"> and </w:t>
      </w:r>
      <w:r w:rsidRPr="00544E52">
        <w:rPr>
          <w:lang w:eastAsia="en-NZ"/>
        </w:rPr>
        <w:t>maintai</w:t>
      </w:r>
      <w:r>
        <w:rPr>
          <w:lang w:eastAsia="en-NZ"/>
        </w:rPr>
        <w:t>n</w:t>
      </w:r>
      <w:r w:rsidRPr="00544E52">
        <w:rPr>
          <w:lang w:eastAsia="en-NZ"/>
        </w:rPr>
        <w:t xml:space="preserve"> employment”.</w:t>
      </w:r>
      <w:r>
        <w:rPr>
          <w:rStyle w:val="EndnoteReference"/>
          <w:lang w:eastAsia="en-NZ"/>
        </w:rPr>
        <w:endnoteReference w:id="3"/>
      </w:r>
      <w:r w:rsidRPr="008F6127">
        <w:t xml:space="preserve"> </w:t>
      </w:r>
      <w:r>
        <w:rPr>
          <w:lang w:eastAsia="en-NZ"/>
        </w:rPr>
        <w:t>These attitudes can ex</w:t>
      </w:r>
      <w:r w:rsidRPr="008F6127">
        <w:rPr>
          <w:lang w:eastAsia="en-NZ"/>
        </w:rPr>
        <w:t>ten</w:t>
      </w:r>
      <w:r>
        <w:rPr>
          <w:lang w:eastAsia="en-NZ"/>
        </w:rPr>
        <w:t>d</w:t>
      </w:r>
      <w:r w:rsidRPr="008F6127">
        <w:rPr>
          <w:lang w:eastAsia="en-NZ"/>
        </w:rPr>
        <w:t xml:space="preserve"> to employers</w:t>
      </w:r>
      <w:r>
        <w:rPr>
          <w:lang w:eastAsia="en-NZ"/>
        </w:rPr>
        <w:t>’</w:t>
      </w:r>
      <w:r w:rsidRPr="008F6127">
        <w:rPr>
          <w:lang w:eastAsia="en-NZ"/>
        </w:rPr>
        <w:t xml:space="preserve"> willingness to provide </w:t>
      </w:r>
      <w:r>
        <w:rPr>
          <w:lang w:eastAsia="en-NZ"/>
        </w:rPr>
        <w:t xml:space="preserve">reasonable </w:t>
      </w:r>
      <w:r w:rsidRPr="008F6127">
        <w:rPr>
          <w:lang w:eastAsia="en-NZ"/>
        </w:rPr>
        <w:t>accommodations</w:t>
      </w:r>
      <w:r>
        <w:rPr>
          <w:lang w:eastAsia="en-NZ"/>
        </w:rPr>
        <w:t>.</w:t>
      </w:r>
    </w:p>
    <w:p w14:paraId="1CD1FCCF" w14:textId="77777777" w:rsidR="0081731C" w:rsidRPr="001A465F" w:rsidRDefault="0081731C" w:rsidP="0081731C">
      <w:pPr>
        <w:rPr>
          <w:lang w:eastAsia="en-NZ"/>
        </w:rPr>
      </w:pPr>
      <w:r>
        <w:rPr>
          <w:lang w:eastAsia="en-NZ"/>
        </w:rPr>
        <w:t>Some</w:t>
      </w:r>
      <w:r w:rsidRPr="007B6A23">
        <w:rPr>
          <w:lang w:eastAsia="en-NZ"/>
        </w:rPr>
        <w:t xml:space="preserve"> attitudes </w:t>
      </w:r>
      <w:r>
        <w:rPr>
          <w:lang w:eastAsia="en-NZ"/>
        </w:rPr>
        <w:t>towards disabled people can be further disabling. For</w:t>
      </w:r>
      <w:r w:rsidRPr="007B6A23">
        <w:rPr>
          <w:lang w:eastAsia="en-NZ"/>
        </w:rPr>
        <w:t xml:space="preserve"> example, there </w:t>
      </w:r>
      <w:r>
        <w:rPr>
          <w:lang w:eastAsia="en-NZ"/>
        </w:rPr>
        <w:t>is often</w:t>
      </w:r>
      <w:r w:rsidRPr="007B6A23">
        <w:rPr>
          <w:lang w:eastAsia="en-NZ"/>
        </w:rPr>
        <w:t xml:space="preserve"> </w:t>
      </w:r>
      <w:r>
        <w:rPr>
          <w:lang w:eastAsia="en-NZ"/>
        </w:rPr>
        <w:t>an</w:t>
      </w:r>
      <w:r w:rsidRPr="007B6A23">
        <w:rPr>
          <w:lang w:eastAsia="en-NZ"/>
        </w:rPr>
        <w:t xml:space="preserve"> assumption that </w:t>
      </w:r>
      <w:r>
        <w:rPr>
          <w:lang w:eastAsia="en-NZ"/>
        </w:rPr>
        <w:t>disabled people</w:t>
      </w:r>
      <w:r w:rsidRPr="007B6A23">
        <w:rPr>
          <w:lang w:eastAsia="en-NZ"/>
        </w:rPr>
        <w:t xml:space="preserve"> </w:t>
      </w:r>
      <w:r>
        <w:rPr>
          <w:lang w:eastAsia="en-NZ"/>
        </w:rPr>
        <w:t>can</w:t>
      </w:r>
      <w:r w:rsidRPr="007B6A23">
        <w:rPr>
          <w:lang w:eastAsia="en-NZ"/>
        </w:rPr>
        <w:t>not work</w:t>
      </w:r>
      <w:r>
        <w:rPr>
          <w:lang w:eastAsia="en-NZ"/>
        </w:rPr>
        <w:t>,</w:t>
      </w:r>
      <w:r w:rsidRPr="007B6A23">
        <w:rPr>
          <w:lang w:eastAsia="en-NZ"/>
        </w:rPr>
        <w:t xml:space="preserve"> </w:t>
      </w:r>
      <w:r>
        <w:rPr>
          <w:lang w:eastAsia="en-NZ"/>
        </w:rPr>
        <w:t xml:space="preserve">and </w:t>
      </w:r>
      <w:r w:rsidRPr="007B6A23">
        <w:rPr>
          <w:lang w:eastAsia="en-NZ"/>
        </w:rPr>
        <w:t xml:space="preserve">that because a disabled person has a physical or sensory </w:t>
      </w:r>
      <w:r>
        <w:rPr>
          <w:lang w:eastAsia="en-NZ"/>
        </w:rPr>
        <w:t>impairment</w:t>
      </w:r>
      <w:r w:rsidRPr="007B6A23">
        <w:rPr>
          <w:lang w:eastAsia="en-NZ"/>
        </w:rPr>
        <w:t xml:space="preserve"> </w:t>
      </w:r>
      <w:r>
        <w:rPr>
          <w:lang w:eastAsia="en-NZ"/>
        </w:rPr>
        <w:t xml:space="preserve">that </w:t>
      </w:r>
      <w:r w:rsidRPr="007B6A23">
        <w:rPr>
          <w:lang w:eastAsia="en-NZ"/>
        </w:rPr>
        <w:t>they will also have a learning disability</w:t>
      </w:r>
      <w:r>
        <w:rPr>
          <w:lang w:eastAsia="en-NZ"/>
        </w:rPr>
        <w:t>,</w:t>
      </w:r>
      <w:r w:rsidRPr="007B6A23">
        <w:rPr>
          <w:lang w:eastAsia="en-NZ"/>
        </w:rPr>
        <w:t xml:space="preserve"> or th</w:t>
      </w:r>
      <w:r>
        <w:rPr>
          <w:lang w:eastAsia="en-NZ"/>
        </w:rPr>
        <w:t>at</w:t>
      </w:r>
      <w:r w:rsidRPr="007B6A23">
        <w:rPr>
          <w:lang w:eastAsia="en-NZ"/>
        </w:rPr>
        <w:t xml:space="preserve"> </w:t>
      </w:r>
      <w:r>
        <w:rPr>
          <w:lang w:eastAsia="en-NZ"/>
        </w:rPr>
        <w:t xml:space="preserve">the </w:t>
      </w:r>
      <w:r w:rsidRPr="007B6A23">
        <w:rPr>
          <w:lang w:eastAsia="en-NZ"/>
        </w:rPr>
        <w:t xml:space="preserve">behaviour of some </w:t>
      </w:r>
      <w:r>
        <w:rPr>
          <w:lang w:eastAsia="en-NZ"/>
        </w:rPr>
        <w:t xml:space="preserve">Autistic </w:t>
      </w:r>
      <w:r w:rsidRPr="007B6A23">
        <w:rPr>
          <w:lang w:eastAsia="en-NZ"/>
        </w:rPr>
        <w:t>people</w:t>
      </w:r>
      <w:r>
        <w:rPr>
          <w:lang w:eastAsia="en-NZ"/>
        </w:rPr>
        <w:t xml:space="preserve">, </w:t>
      </w:r>
      <w:r w:rsidRPr="007B6A23">
        <w:rPr>
          <w:lang w:eastAsia="en-NZ"/>
        </w:rPr>
        <w:t>e.g. lack of eye contact, may be</w:t>
      </w:r>
      <w:r>
        <w:rPr>
          <w:lang w:eastAsia="en-NZ"/>
        </w:rPr>
        <w:t xml:space="preserve"> </w:t>
      </w:r>
      <w:r w:rsidRPr="007B6A23">
        <w:rPr>
          <w:lang w:eastAsia="en-NZ"/>
        </w:rPr>
        <w:t xml:space="preserve">misinterpreted as </w:t>
      </w:r>
      <w:r>
        <w:rPr>
          <w:lang w:eastAsia="en-NZ"/>
        </w:rPr>
        <w:t>unprofessional</w:t>
      </w:r>
      <w:r w:rsidRPr="007B6A23">
        <w:rPr>
          <w:lang w:eastAsia="en-NZ"/>
        </w:rPr>
        <w:t>.</w:t>
      </w:r>
      <w:r>
        <w:rPr>
          <w:rStyle w:val="EndnoteReference"/>
          <w:lang w:eastAsia="en-NZ"/>
        </w:rPr>
        <w:endnoteReference w:id="4"/>
      </w:r>
    </w:p>
    <w:p w14:paraId="3EDC47AC" w14:textId="77777777" w:rsidR="0081731C" w:rsidRDefault="0081731C" w:rsidP="0081731C">
      <w:pPr>
        <w:pStyle w:val="Heading2"/>
      </w:pPr>
      <w:bookmarkStart w:id="3" w:name="_Toc106639957"/>
      <w:bookmarkStart w:id="4" w:name="_Toc112327347"/>
      <w:r w:rsidRPr="00172243">
        <w:t>Transport</w:t>
      </w:r>
      <w:bookmarkEnd w:id="3"/>
      <w:bookmarkEnd w:id="4"/>
    </w:p>
    <w:p w14:paraId="23B66D59" w14:textId="77777777" w:rsidR="0081731C" w:rsidRPr="00DF4EA9" w:rsidRDefault="0081731C" w:rsidP="0081731C">
      <w:pPr>
        <w:rPr>
          <w:lang w:eastAsia="en-NZ"/>
        </w:rPr>
      </w:pPr>
      <w:r>
        <w:rPr>
          <w:lang w:eastAsia="en-NZ"/>
        </w:rPr>
        <w:t xml:space="preserve">Being able to access to affordable and accessible transport impacts a person’s ability to gain employment. </w:t>
      </w:r>
      <w:r>
        <w:t xml:space="preserve">Barriers to transport can also lead to poor health outcomes due to social exclusion, affecting disabled people’s access to employment and negatively </w:t>
      </w:r>
      <w:r>
        <w:rPr>
          <w:rFonts w:eastAsia="Times New Roman" w:cstheme="minorHAnsi"/>
          <w:lang w:eastAsia="en-NZ"/>
        </w:rPr>
        <w:t>impacting their well-being.</w:t>
      </w:r>
      <w:r>
        <w:rPr>
          <w:rStyle w:val="EndnoteReference"/>
          <w:rFonts w:eastAsia="Times New Roman" w:cstheme="minorHAnsi"/>
          <w:lang w:eastAsia="en-NZ"/>
        </w:rPr>
        <w:endnoteReference w:id="5"/>
      </w:r>
    </w:p>
    <w:p w14:paraId="288DBD56" w14:textId="77777777" w:rsidR="0081731C" w:rsidRDefault="0081731C" w:rsidP="0081731C">
      <w:pPr>
        <w:rPr>
          <w:lang w:eastAsia="en-NZ"/>
        </w:rPr>
      </w:pPr>
      <w:r>
        <w:t>A</w:t>
      </w:r>
      <w:r w:rsidRPr="00DB5E94">
        <w:t>ccess to both private and public transport</w:t>
      </w:r>
      <w:r>
        <w:t xml:space="preserve"> key in the discussion of accessible transport choices. C</w:t>
      </w:r>
      <w:r w:rsidRPr="00341FBF">
        <w:t>ar ownership</w:t>
      </w:r>
      <w:r>
        <w:t xml:space="preserve"> is </w:t>
      </w:r>
      <w:r w:rsidRPr="00341FBF">
        <w:t>unattainable for many</w:t>
      </w:r>
      <w:r>
        <w:t xml:space="preserve"> due to systemic inequity in relation to employment and lo</w:t>
      </w:r>
      <w:r w:rsidRPr="00341FBF">
        <w:t>wer incomes</w:t>
      </w:r>
      <w:r>
        <w:t>,</w:t>
      </w:r>
      <w:r w:rsidRPr="00341FBF">
        <w:t xml:space="preserve"> as well as</w:t>
      </w:r>
      <w:r>
        <w:t xml:space="preserve"> the </w:t>
      </w:r>
      <w:r w:rsidRPr="00341FBF">
        <w:t xml:space="preserve">high </w:t>
      </w:r>
      <w:r>
        <w:t>cost of vehicle modifications.</w:t>
      </w:r>
      <w:r>
        <w:rPr>
          <w:rStyle w:val="EndnoteReference"/>
        </w:rPr>
        <w:endnoteReference w:id="6"/>
      </w:r>
      <w:r w:rsidRPr="00341FBF">
        <w:t xml:space="preserve"> </w:t>
      </w:r>
      <w:r w:rsidRPr="00091A7D">
        <w:t>Disabled people who do not have access to a private vehicle, and cannot afford taxi service</w:t>
      </w:r>
      <w:r>
        <w:t>s, even with the Total Mobility scheme,</w:t>
      </w:r>
      <w:r w:rsidRPr="00091A7D">
        <w:t xml:space="preserve"> </w:t>
      </w:r>
      <w:r>
        <w:t xml:space="preserve">rely on </w:t>
      </w:r>
      <w:r w:rsidRPr="00091A7D">
        <w:t>accessible public transport</w:t>
      </w:r>
      <w:r>
        <w:rPr>
          <w:rStyle w:val="EndnoteReference"/>
        </w:rPr>
        <w:endnoteReference w:id="7"/>
      </w:r>
      <w:r w:rsidRPr="00070A06">
        <w:t xml:space="preserve"> </w:t>
      </w:r>
      <w:r>
        <w:t>and are more likely to use a taxi</w:t>
      </w:r>
      <w:r w:rsidRPr="00C37557">
        <w:t xml:space="preserve"> </w:t>
      </w:r>
      <w:r>
        <w:t>service.</w:t>
      </w:r>
      <w:r>
        <w:rPr>
          <w:rStyle w:val="EndnoteReference"/>
        </w:rPr>
        <w:endnoteReference w:id="8"/>
      </w:r>
      <w:r w:rsidRPr="00FC08E8">
        <w:rPr>
          <w:lang w:eastAsia="en-NZ"/>
        </w:rPr>
        <w:t xml:space="preserve"> </w:t>
      </w:r>
      <w:r>
        <w:rPr>
          <w:lang w:eastAsia="en-NZ"/>
        </w:rPr>
        <w:t>Transport costs are a significant barrier to employment for disabled people and mitigating these costs with sufficient funding is an important step towards reducing this barrier.</w:t>
      </w:r>
    </w:p>
    <w:p w14:paraId="60A54317" w14:textId="77777777" w:rsidR="0081731C" w:rsidRDefault="0081731C" w:rsidP="0081731C">
      <w:pPr>
        <w:pStyle w:val="Heading2"/>
      </w:pPr>
      <w:bookmarkStart w:id="5" w:name="_Toc112327348"/>
      <w:r>
        <w:t>Housing</w:t>
      </w:r>
      <w:bookmarkEnd w:id="5"/>
    </w:p>
    <w:p w14:paraId="3F0BA1B2" w14:textId="7E8DC935" w:rsidR="0081731C" w:rsidRDefault="0081731C" w:rsidP="0081731C">
      <w:bookmarkStart w:id="6" w:name="_Toc106639958"/>
      <w:bookmarkStart w:id="7" w:name="_Toc112327349"/>
      <w:r w:rsidRPr="00AF635A">
        <w:t>Inaccessible and unaffordable housing is a huge barrier to disabled people being employed</w:t>
      </w:r>
      <w:r>
        <w:t>.</w:t>
      </w:r>
      <w:r w:rsidRPr="00AF635A">
        <w:t xml:space="preserve"> </w:t>
      </w:r>
      <w:r>
        <w:t>I</w:t>
      </w:r>
      <w:r w:rsidRPr="00AF635A">
        <w:t xml:space="preserve">f you can’t move to where </w:t>
      </w:r>
      <w:r>
        <w:t>a</w:t>
      </w:r>
      <w:r w:rsidRPr="00AF635A">
        <w:t xml:space="preserve"> job is because you can’t </w:t>
      </w:r>
      <w:r>
        <w:t>find</w:t>
      </w:r>
      <w:r w:rsidRPr="00AF635A">
        <w:t xml:space="preserve"> an accessible ho</w:t>
      </w:r>
      <w:r>
        <w:t xml:space="preserve">me or neighbourhood, </w:t>
      </w:r>
      <w:r w:rsidRPr="00AF635A">
        <w:t xml:space="preserve">then you </w:t>
      </w:r>
      <w:r>
        <w:t>may not be able to take the</w:t>
      </w:r>
      <w:r w:rsidRPr="00AF635A">
        <w:t xml:space="preserve"> job. </w:t>
      </w:r>
      <w:r>
        <w:t xml:space="preserve">With the low </w:t>
      </w:r>
      <w:r>
        <w:lastRenderedPageBreak/>
        <w:t>target of only</w:t>
      </w:r>
      <w:r w:rsidRPr="00AF635A">
        <w:t xml:space="preserve"> fifteen percent </w:t>
      </w:r>
      <w:r>
        <w:t>for</w:t>
      </w:r>
      <w:r w:rsidRPr="00AF635A">
        <w:t xml:space="preserve"> Kainga Ora accessible new build</w:t>
      </w:r>
      <w:r>
        <w:t>s,</w:t>
      </w:r>
      <w:r w:rsidRPr="00AF635A">
        <w:t xml:space="preserve"> little</w:t>
      </w:r>
      <w:r>
        <w:t xml:space="preserve"> will be change.</w:t>
      </w:r>
    </w:p>
    <w:p w14:paraId="3C47096C" w14:textId="5BE0FC59" w:rsidR="0081731C" w:rsidRDefault="0081731C" w:rsidP="0081731C">
      <w:pPr>
        <w:rPr>
          <w:rStyle w:val="normaltextrun"/>
          <w:rFonts w:cs="Arial"/>
        </w:rPr>
      </w:pPr>
      <w:r>
        <w:rPr>
          <w:rStyle w:val="normaltextrun"/>
          <w:rFonts w:cs="Arial"/>
        </w:rPr>
        <w:t>The issue of housing affordability is intertwined with the lack of Universal Design</w:t>
      </w:r>
      <w:r>
        <w:rPr>
          <w:rStyle w:val="EndnoteReference"/>
          <w:rFonts w:cs="Arial"/>
        </w:rPr>
        <w:endnoteReference w:id="9"/>
      </w:r>
      <w:r>
        <w:rPr>
          <w:rStyle w:val="normaltextrun"/>
          <w:rFonts w:cs="Arial"/>
        </w:rPr>
        <w:t xml:space="preserve"> access to housing for many disabled people, especially for those who are mobility impaired. There is a need for the interconnected issues of affordability and accessibility to be considered together.</w:t>
      </w:r>
      <w:r w:rsidRPr="008106BE">
        <w:rPr>
          <w:rStyle w:val="FootnoteReference"/>
          <w:rFonts w:cs="Arial"/>
        </w:rPr>
        <w:t xml:space="preserve"> </w:t>
      </w:r>
    </w:p>
    <w:p w14:paraId="0C415352" w14:textId="68481C08" w:rsidR="0081731C" w:rsidRPr="00F75CBC" w:rsidRDefault="0081731C" w:rsidP="0081731C">
      <w:pPr>
        <w:rPr>
          <w:rFonts w:cs="Arial"/>
          <w:color w:val="000000"/>
          <w:shd w:val="clear" w:color="auto" w:fill="FFFFFF"/>
          <w:lang w:val="en-US"/>
        </w:rPr>
      </w:pPr>
      <w:r w:rsidRPr="4F5309BE">
        <w:rPr>
          <w:rStyle w:val="normaltextrun"/>
          <w:rFonts w:cs="Arial"/>
          <w:color w:val="000000"/>
          <w:shd w:val="clear" w:color="auto" w:fill="FFFFFF"/>
          <w:lang w:val="en-US"/>
        </w:rPr>
        <w:t xml:space="preserve">Statistics NZ </w:t>
      </w:r>
      <w:r>
        <w:rPr>
          <w:rStyle w:val="normaltextrun"/>
          <w:rFonts w:cs="Arial"/>
          <w:color w:val="000000"/>
          <w:shd w:val="clear" w:color="auto" w:fill="FFFFFF"/>
          <w:lang w:val="en-US"/>
        </w:rPr>
        <w:t xml:space="preserve">reports that in </w:t>
      </w:r>
      <w:r w:rsidRPr="4F5309BE">
        <w:rPr>
          <w:rStyle w:val="normaltextrun"/>
          <w:rFonts w:cs="Arial"/>
        </w:rPr>
        <w:t>the</w:t>
      </w:r>
      <w:r w:rsidRPr="4F5309BE">
        <w:rPr>
          <w:rStyle w:val="normaltextrun"/>
          <w:rFonts w:cs="Arial"/>
          <w:color w:val="000000"/>
          <w:shd w:val="clear" w:color="auto" w:fill="FFFFFF"/>
          <w:lang w:val="en-US"/>
        </w:rPr>
        <w:t xml:space="preserve"> September 2019 quarter, there were 1,903,400 private dwellings in Aotearoa New Zealand.</w:t>
      </w:r>
      <w:r>
        <w:rPr>
          <w:rStyle w:val="EndnoteReference"/>
          <w:rFonts w:cs="Arial"/>
          <w:color w:val="000000"/>
          <w:shd w:val="clear" w:color="auto" w:fill="FFFFFF"/>
          <w:lang w:val="en-US"/>
        </w:rPr>
        <w:endnoteReference w:id="10"/>
      </w:r>
      <w:r w:rsidRPr="4F5309BE">
        <w:rPr>
          <w:rStyle w:val="normaltextrun"/>
          <w:rFonts w:cs="Arial"/>
          <w:color w:val="000000"/>
          <w:shd w:val="clear" w:color="auto" w:fill="FFFFFF"/>
          <w:lang w:val="en-US"/>
        </w:rPr>
        <w:t> </w:t>
      </w:r>
      <w:r>
        <w:rPr>
          <w:rStyle w:val="normaltextrun"/>
          <w:rFonts w:cs="Arial"/>
          <w:color w:val="000000"/>
          <w:shd w:val="clear" w:color="auto" w:fill="FFFFFF"/>
          <w:lang w:val="en-US"/>
        </w:rPr>
        <w:t>However, a</w:t>
      </w:r>
      <w:r w:rsidRPr="4F5309BE">
        <w:rPr>
          <w:rStyle w:val="normaltextrun"/>
          <w:rFonts w:cs="Arial"/>
          <w:color w:val="000000"/>
          <w:shd w:val="clear" w:color="auto" w:fill="FFFFFF"/>
          <w:lang w:val="en-US"/>
        </w:rPr>
        <w:t>ccording to Lifemark, an organisation that promotes safe and accessible homes, less than 1% of these private dwellings met UD standards despite it being no extra cost to implement 90 percent of the Lifemark accessibility standards.</w:t>
      </w:r>
    </w:p>
    <w:p w14:paraId="41263786" w14:textId="77777777" w:rsidR="0081731C" w:rsidRDefault="0081731C" w:rsidP="0081731C">
      <w:pPr>
        <w:pStyle w:val="Heading2"/>
      </w:pPr>
      <w:r w:rsidRPr="008571E4">
        <w:t xml:space="preserve">Digital </w:t>
      </w:r>
      <w:r w:rsidRPr="00172243">
        <w:t>Inequity</w:t>
      </w:r>
      <w:bookmarkEnd w:id="6"/>
      <w:bookmarkEnd w:id="7"/>
    </w:p>
    <w:p w14:paraId="722CD523" w14:textId="77777777" w:rsidR="0081731C" w:rsidRDefault="0081731C" w:rsidP="0081731C">
      <w:r w:rsidRPr="008D0B9E">
        <w:rPr>
          <w:lang w:eastAsia="en-NZ"/>
        </w:rPr>
        <w:t>Equitable access to technology is an important</w:t>
      </w:r>
      <w:r>
        <w:rPr>
          <w:lang w:eastAsia="en-NZ"/>
        </w:rPr>
        <w:t xml:space="preserve"> factor in reducing barriers to employment. </w:t>
      </w:r>
      <w:r>
        <w:t>Many disabled people are excluded from digital participation due to prohibitive costs of specialised devices and software, and these devices and software are often in accessible.</w:t>
      </w:r>
      <w:r>
        <w:rPr>
          <w:rStyle w:val="EndnoteReference"/>
        </w:rPr>
        <w:endnoteReference w:id="11"/>
      </w:r>
    </w:p>
    <w:p w14:paraId="3CF9882A" w14:textId="77777777" w:rsidR="0081731C" w:rsidRDefault="0081731C" w:rsidP="0081731C">
      <w:r>
        <w:t>Digital barriers are not just confined to on-the-job situations. These barriers exist at all stages of the employment journey. For example, in accessing job advertisements and application forms through not having access to devices, data, or the skills to use them.</w:t>
      </w:r>
    </w:p>
    <w:p w14:paraId="4BE99530" w14:textId="77777777" w:rsidR="0081731C" w:rsidRDefault="0081731C" w:rsidP="0081731C">
      <w:pPr>
        <w:pStyle w:val="Heading2"/>
      </w:pPr>
      <w:bookmarkStart w:id="8" w:name="_Toc106639959"/>
      <w:bookmarkStart w:id="9" w:name="_Toc112327350"/>
      <w:r w:rsidRPr="00172243">
        <w:t>Poverty</w:t>
      </w:r>
      <w:bookmarkEnd w:id="8"/>
      <w:bookmarkEnd w:id="9"/>
    </w:p>
    <w:p w14:paraId="5B0D3BC9" w14:textId="77777777" w:rsidR="0081731C" w:rsidRDefault="0081731C" w:rsidP="0081731C">
      <w:r>
        <w:t>In Aotearoa New Zealand there is a strong correlation between poverty and receiving a benefit. Disabled people are especially affected,</w:t>
      </w:r>
      <w:r>
        <w:rPr>
          <w:rStyle w:val="EndnoteReference"/>
        </w:rPr>
        <w:endnoteReference w:id="12"/>
      </w:r>
      <w:r>
        <w:t xml:space="preserve"> with 54 percent of main beneficiaries being disabled.</w:t>
      </w:r>
      <w:r>
        <w:rPr>
          <w:rStyle w:val="EndnoteReference"/>
        </w:rPr>
        <w:endnoteReference w:id="13"/>
      </w:r>
      <w:r>
        <w:t xml:space="preserve"> For those for are employed, poverty can still be a reality as disabled people are more likely to have lower incomes than non-disabled people</w:t>
      </w:r>
      <w:r>
        <w:rPr>
          <w:rStyle w:val="EndnoteReference"/>
        </w:rPr>
        <w:endnoteReference w:id="14"/>
      </w:r>
      <w:r>
        <w:t xml:space="preserve"> and wages have declined relative to the cost of living.</w:t>
      </w:r>
      <w:r>
        <w:rPr>
          <w:rStyle w:val="EndnoteReference"/>
        </w:rPr>
        <w:endnoteReference w:id="15"/>
      </w:r>
      <w:r>
        <w:t xml:space="preserve"> For example, inflation over the past twenty-nine years since Support Funds were introduced has resulted in a 61 percent decrease in purchasing power,</w:t>
      </w:r>
      <w:r>
        <w:rPr>
          <w:rStyle w:val="EndnoteReference"/>
        </w:rPr>
        <w:endnoteReference w:id="16"/>
      </w:r>
      <w:r>
        <w:t xml:space="preserve"> which disproportionately affects those on low wages.</w:t>
      </w:r>
    </w:p>
    <w:p w14:paraId="25BB76B2" w14:textId="77777777" w:rsidR="0081731C" w:rsidRPr="009B5EE2" w:rsidRDefault="0081731C" w:rsidP="0081731C">
      <w:pPr>
        <w:pStyle w:val="Heading2"/>
      </w:pPr>
      <w:bookmarkStart w:id="10" w:name="_Toc106639960"/>
      <w:bookmarkStart w:id="11" w:name="_Toc112327351"/>
      <w:r w:rsidRPr="009B5EE2">
        <w:t>Devaluation of Disabled People</w:t>
      </w:r>
      <w:bookmarkEnd w:id="10"/>
      <w:bookmarkEnd w:id="11"/>
    </w:p>
    <w:p w14:paraId="23C55AFD" w14:textId="77777777" w:rsidR="0081731C" w:rsidRDefault="0081731C" w:rsidP="0081731C">
      <w:pPr>
        <w:rPr>
          <w:lang w:eastAsia="en-NZ"/>
        </w:rPr>
      </w:pPr>
      <w:r>
        <w:rPr>
          <w:lang w:eastAsia="en-NZ"/>
        </w:rPr>
        <w:t>D</w:t>
      </w:r>
      <w:r w:rsidRPr="007B6A23">
        <w:rPr>
          <w:lang w:eastAsia="en-NZ"/>
        </w:rPr>
        <w:t>iscrimination</w:t>
      </w:r>
      <w:r>
        <w:rPr>
          <w:lang w:eastAsia="en-NZ"/>
        </w:rPr>
        <w:t>, such that exists in the workplace and application process,</w:t>
      </w:r>
      <w:r w:rsidRPr="007B6A23">
        <w:rPr>
          <w:lang w:eastAsia="en-NZ"/>
        </w:rPr>
        <w:t xml:space="preserve"> can result in </w:t>
      </w:r>
      <w:r>
        <w:rPr>
          <w:lang w:eastAsia="en-NZ"/>
        </w:rPr>
        <w:t xml:space="preserve">disabled </w:t>
      </w:r>
      <w:r w:rsidRPr="007B6A23">
        <w:rPr>
          <w:lang w:eastAsia="en-NZ"/>
        </w:rPr>
        <w:t>people being</w:t>
      </w:r>
      <w:r>
        <w:rPr>
          <w:lang w:eastAsia="en-NZ"/>
        </w:rPr>
        <w:t xml:space="preserve"> further</w:t>
      </w:r>
      <w:r w:rsidRPr="007B6A23">
        <w:rPr>
          <w:lang w:eastAsia="en-NZ"/>
        </w:rPr>
        <w:t xml:space="preserve"> marginalised and devalued.</w:t>
      </w:r>
      <w:r>
        <w:rPr>
          <w:rStyle w:val="EndnoteReference"/>
          <w:lang w:eastAsia="en-NZ"/>
        </w:rPr>
        <w:endnoteReference w:id="17"/>
      </w:r>
      <w:r>
        <w:rPr>
          <w:lang w:eastAsia="en-NZ"/>
        </w:rPr>
        <w:t xml:space="preserve"> This can be seen in discriminatory schemes such as the Minimum Wage Exemption, which allows businesses to employ disabled people for less than the minimum wage.</w:t>
      </w:r>
      <w:r>
        <w:rPr>
          <w:rStyle w:val="EndnoteReference"/>
          <w:lang w:eastAsia="en-NZ"/>
        </w:rPr>
        <w:endnoteReference w:id="18"/>
      </w:r>
      <w:r>
        <w:rPr>
          <w:lang w:eastAsia="en-NZ"/>
        </w:rPr>
        <w:t xml:space="preserve"> T</w:t>
      </w:r>
      <w:r>
        <w:t>here are currently around 900 people employed through the scheme, with 70% paid less than $5 an hour and 25% paid less than $2, all before tax.</w:t>
      </w:r>
      <w:r>
        <w:rPr>
          <w:rStyle w:val="EndnoteReference"/>
        </w:rPr>
        <w:endnoteReference w:id="19"/>
      </w:r>
    </w:p>
    <w:p w14:paraId="0BE6EFE9" w14:textId="65406AF5" w:rsidR="00CF0A04" w:rsidRDefault="0081731C" w:rsidP="0081731C">
      <w:r>
        <w:rPr>
          <w:lang w:eastAsia="en-NZ"/>
        </w:rPr>
        <w:t>Low expectations are something many in the disabled community experience, with people often being told they are not destined for higher education and, at times, discouraged from pursuing emp</w:t>
      </w:r>
    </w:p>
    <w:sectPr w:rsidR="00CF0A04">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A434A" w14:textId="77777777" w:rsidR="002F4D0C" w:rsidRDefault="002F4D0C">
      <w:pPr>
        <w:spacing w:after="0"/>
      </w:pPr>
      <w:r>
        <w:separator/>
      </w:r>
    </w:p>
  </w:endnote>
  <w:endnote w:type="continuationSeparator" w:id="0">
    <w:p w14:paraId="4D43ADE1" w14:textId="77777777" w:rsidR="002F4D0C" w:rsidRDefault="002F4D0C">
      <w:pPr>
        <w:spacing w:after="0"/>
      </w:pPr>
      <w:r>
        <w:continuationSeparator/>
      </w:r>
    </w:p>
  </w:endnote>
  <w:endnote w:type="continuationNotice" w:id="1">
    <w:p w14:paraId="17BD4975" w14:textId="77777777" w:rsidR="002F4D0C" w:rsidRDefault="002F4D0C">
      <w:pPr>
        <w:spacing w:after="0"/>
      </w:pPr>
    </w:p>
  </w:endnote>
  <w:endnote w:id="2">
    <w:p w14:paraId="73542B0B" w14:textId="77777777" w:rsidR="0081731C" w:rsidRPr="001A7AB0" w:rsidRDefault="0081731C" w:rsidP="0081731C">
      <w:pPr>
        <w:ind w:left="567" w:hanging="567"/>
        <w:rPr>
          <w:lang w:val="en-US"/>
        </w:rPr>
      </w:pPr>
      <w:r w:rsidRPr="001A7AB0">
        <w:rPr>
          <w:rStyle w:val="EndnoteReference"/>
          <w:szCs w:val="24"/>
        </w:rPr>
        <w:endnoteRef/>
      </w:r>
      <w:r w:rsidRPr="001A7AB0">
        <w:t xml:space="preserve"> </w:t>
      </w:r>
      <w:r w:rsidRPr="001A7AB0">
        <w:tab/>
      </w:r>
      <w:r w:rsidRPr="001A7AB0">
        <w:rPr>
          <w:rFonts w:eastAsia="Calibri Light" w:cs="Arial"/>
        </w:rPr>
        <w:t xml:space="preserve">Welfare Expert Advisory Group Report. (2018). </w:t>
      </w:r>
      <w:r w:rsidRPr="001A7AB0">
        <w:rPr>
          <w:rFonts w:eastAsia="Calibri Light" w:cs="Arial"/>
          <w:i/>
          <w:iCs/>
        </w:rPr>
        <w:t>Whakamana Tāngata: Restoring dignity to social security in New Zealand.</w:t>
      </w:r>
      <w:r w:rsidRPr="001A7AB0">
        <w:rPr>
          <w:rFonts w:eastAsia="Calibri Light" w:cs="Arial"/>
        </w:rPr>
        <w:t xml:space="preserve"> Retrieved from: </w:t>
      </w:r>
      <w:r w:rsidRPr="001A7AB0">
        <w:rPr>
          <w:rFonts w:cs="Arial"/>
        </w:rPr>
        <w:t>http://www.weag.govt.nz/weag-report/</w:t>
      </w:r>
    </w:p>
  </w:endnote>
  <w:endnote w:id="3">
    <w:p w14:paraId="7F04305D" w14:textId="77777777" w:rsidR="0081731C" w:rsidRPr="001A7AB0" w:rsidRDefault="0081731C" w:rsidP="0081731C">
      <w:pPr>
        <w:ind w:left="567" w:hanging="567"/>
        <w:rPr>
          <w:lang w:val="en-US"/>
        </w:rPr>
      </w:pPr>
      <w:r w:rsidRPr="001A7AB0">
        <w:rPr>
          <w:rStyle w:val="EndnoteReference"/>
          <w:szCs w:val="24"/>
        </w:rPr>
        <w:endnoteRef/>
      </w:r>
      <w:r w:rsidRPr="001A7AB0">
        <w:t xml:space="preserve"> </w:t>
      </w:r>
      <w:r w:rsidRPr="001A7AB0">
        <w:tab/>
      </w:r>
      <w:r w:rsidRPr="001A7AB0">
        <w:rPr>
          <w:rFonts w:cs="Arial"/>
          <w:color w:val="000000"/>
        </w:rPr>
        <w:t>Wilkinson-Meyers et al. (2014) Reducing disablement with adequate and appropriate resources: a New Zealand perspective”. Disability &amp; Society. 29 (10), 1540-1553.</w:t>
      </w:r>
    </w:p>
  </w:endnote>
  <w:endnote w:id="4">
    <w:p w14:paraId="5EC06B3A" w14:textId="77777777" w:rsidR="0081731C" w:rsidRPr="001A7AB0" w:rsidRDefault="0081731C" w:rsidP="0081731C">
      <w:pPr>
        <w:ind w:left="567" w:hanging="567"/>
        <w:rPr>
          <w:lang w:val="en-US"/>
        </w:rPr>
      </w:pPr>
      <w:r w:rsidRPr="001A7AB0">
        <w:rPr>
          <w:rStyle w:val="EndnoteReference"/>
          <w:szCs w:val="24"/>
        </w:rPr>
        <w:endnoteRef/>
      </w:r>
      <w:r w:rsidRPr="001A7AB0">
        <w:t xml:space="preserve"> </w:t>
      </w:r>
      <w:r w:rsidRPr="001A7AB0">
        <w:tab/>
        <w:t xml:space="preserve">Ministry of Health. (2017). </w:t>
      </w:r>
      <w:r w:rsidRPr="001A7AB0">
        <w:rPr>
          <w:i/>
          <w:iCs/>
        </w:rPr>
        <w:t>A Guide to Community Engagement with People with Disabilities.</w:t>
      </w:r>
      <w:r w:rsidRPr="001A7AB0">
        <w:t xml:space="preserve"> Retrieved from: https://www.health.govt.nz/system/files/documents/publications/guide-community-engagement-people-disabilities-2nd-edn-apr17.docx</w:t>
      </w:r>
    </w:p>
  </w:endnote>
  <w:endnote w:id="5">
    <w:p w14:paraId="16DE6B43" w14:textId="77777777" w:rsidR="0081731C" w:rsidRPr="001A7AB0" w:rsidRDefault="0081731C" w:rsidP="0081731C">
      <w:pPr>
        <w:ind w:left="567" w:hanging="567"/>
        <w:rPr>
          <w:lang w:val="en-US"/>
        </w:rPr>
      </w:pPr>
      <w:r w:rsidRPr="001A7AB0">
        <w:rPr>
          <w:rStyle w:val="EndnoteReference"/>
          <w:szCs w:val="24"/>
        </w:rPr>
        <w:endnoteRef/>
      </w:r>
      <w:r w:rsidRPr="001A7AB0">
        <w:t xml:space="preserve"> </w:t>
      </w:r>
      <w:r w:rsidRPr="001A7AB0">
        <w:tab/>
      </w:r>
      <w:r w:rsidRPr="001A7AB0">
        <w:rPr>
          <w:rFonts w:cs="Arial"/>
        </w:rPr>
        <w:t xml:space="preserve">Rose, E., Witten, K., &amp; McCreanor, T. (2009). Transport related social exclusion in New Zealand: evidence and challenges. </w:t>
      </w:r>
      <w:r w:rsidRPr="001A7AB0">
        <w:rPr>
          <w:rFonts w:cs="Arial"/>
          <w:i/>
          <w:iCs/>
        </w:rPr>
        <w:t>Kōtuitui: New Zealand Journal of Social Sciences Online, 4</w:t>
      </w:r>
      <w:r w:rsidRPr="001A7AB0">
        <w:rPr>
          <w:rFonts w:cs="Arial"/>
        </w:rPr>
        <w:t>(3), 191-203.</w:t>
      </w:r>
    </w:p>
  </w:endnote>
  <w:endnote w:id="6">
    <w:p w14:paraId="6DC59EFC" w14:textId="77777777" w:rsidR="0081731C" w:rsidRPr="001A7AB0" w:rsidRDefault="0081731C" w:rsidP="0081731C">
      <w:pPr>
        <w:ind w:left="567" w:hanging="567"/>
        <w:rPr>
          <w:lang w:val="en-US"/>
        </w:rPr>
      </w:pPr>
      <w:r w:rsidRPr="001A7AB0">
        <w:rPr>
          <w:rStyle w:val="EndnoteReference"/>
          <w:szCs w:val="24"/>
        </w:rPr>
        <w:endnoteRef/>
      </w:r>
      <w:r w:rsidRPr="001A7AB0">
        <w:t xml:space="preserve"> </w:t>
      </w:r>
      <w:r w:rsidRPr="001A7AB0">
        <w:tab/>
      </w:r>
      <w:r w:rsidRPr="001A7AB0">
        <w:rPr>
          <w:rFonts w:cs="Arial"/>
        </w:rPr>
        <w:t xml:space="preserve">Woodbury, E. (2012). </w:t>
      </w:r>
      <w:r w:rsidRPr="001A7AB0">
        <w:rPr>
          <w:rFonts w:cs="Arial"/>
          <w:i/>
          <w:iCs/>
        </w:rPr>
        <w:t>Auto-Mobile: Disabled Drivers in New Zealand</w:t>
      </w:r>
      <w:r w:rsidRPr="001A7AB0">
        <w:rPr>
          <w:rFonts w:cs="Arial"/>
        </w:rPr>
        <w:t xml:space="preserve"> [Doctoral dissertation, University of Otago]. Our Archive. Retrieved from: https://ourarchive.otago.ac.nz/bitstream/handle/10523/3715/WoodburyEstherZ2013PhD.pdf?sequence=1</w:t>
      </w:r>
    </w:p>
  </w:endnote>
  <w:endnote w:id="7">
    <w:p w14:paraId="51712BD9" w14:textId="77777777" w:rsidR="0081731C" w:rsidRPr="001A7AB0" w:rsidRDefault="0081731C" w:rsidP="0081731C">
      <w:pPr>
        <w:ind w:left="567" w:hanging="567"/>
        <w:rPr>
          <w:rFonts w:cs="Arial"/>
        </w:rPr>
      </w:pPr>
      <w:r w:rsidRPr="001A7AB0">
        <w:rPr>
          <w:rStyle w:val="EndnoteReference"/>
          <w:szCs w:val="24"/>
        </w:rPr>
        <w:endnoteRef/>
      </w:r>
      <w:r w:rsidRPr="001A7AB0">
        <w:t xml:space="preserve"> </w:t>
      </w:r>
      <w:r w:rsidRPr="001A7AB0">
        <w:tab/>
      </w:r>
      <w:r w:rsidRPr="001A7AB0">
        <w:rPr>
          <w:rFonts w:cs="Arial"/>
        </w:rPr>
        <w:t xml:space="preserve">CCS Disability Action. (2018). </w:t>
      </w:r>
      <w:r w:rsidRPr="001A7AB0">
        <w:rPr>
          <w:rFonts w:cs="Arial"/>
          <w:i/>
          <w:iCs/>
        </w:rPr>
        <w:t>Briefing to Hon Phil Twyford Minister for Transport.</w:t>
      </w:r>
      <w:r w:rsidRPr="001A7AB0">
        <w:rPr>
          <w:rFonts w:cs="Arial"/>
        </w:rPr>
        <w:t xml:space="preserve"> Retrieved from: https://www.ccsdisabilityaction.org.nz/assets/resource-files/Briefing-to-the-Minister-of-Transport.pdf</w:t>
      </w:r>
    </w:p>
  </w:endnote>
  <w:endnote w:id="8">
    <w:p w14:paraId="7DABF8DF" w14:textId="77777777" w:rsidR="0081731C" w:rsidRPr="001A7AB0" w:rsidRDefault="0081731C" w:rsidP="0081731C">
      <w:pPr>
        <w:ind w:left="567" w:hanging="567"/>
        <w:rPr>
          <w:lang w:val="en-US"/>
        </w:rPr>
      </w:pPr>
      <w:r w:rsidRPr="001A7AB0">
        <w:rPr>
          <w:rStyle w:val="EndnoteReference"/>
          <w:szCs w:val="24"/>
        </w:rPr>
        <w:endnoteRef/>
      </w:r>
      <w:r w:rsidRPr="001A7AB0">
        <w:t xml:space="preserve"> </w:t>
      </w:r>
      <w:r w:rsidRPr="001A7AB0">
        <w:tab/>
      </w:r>
      <w:r w:rsidRPr="001A7AB0">
        <w:rPr>
          <w:rFonts w:cs="Arial"/>
        </w:rPr>
        <w:t xml:space="preserve">Velho, R. (2019). Transport accessibility for wheelchair users: A qualitative analysis of inclusion and health. </w:t>
      </w:r>
      <w:r w:rsidRPr="001A7AB0">
        <w:rPr>
          <w:rFonts w:cs="Arial"/>
          <w:i/>
          <w:iCs/>
        </w:rPr>
        <w:t>International Journal of Transportation Science and Technology, 8</w:t>
      </w:r>
      <w:r w:rsidRPr="001A7AB0">
        <w:rPr>
          <w:rFonts w:cs="Arial"/>
        </w:rPr>
        <w:t>(2), 103-115.</w:t>
      </w:r>
    </w:p>
  </w:endnote>
  <w:endnote w:id="9">
    <w:p w14:paraId="4977896F" w14:textId="77777777" w:rsidR="0081731C" w:rsidRPr="00BB714F" w:rsidRDefault="0081731C" w:rsidP="0081731C">
      <w:pPr>
        <w:pStyle w:val="EndnoteText"/>
        <w:spacing w:after="240"/>
        <w:ind w:left="567" w:hanging="567"/>
        <w:rPr>
          <w:sz w:val="24"/>
          <w:szCs w:val="24"/>
          <w:lang w:val="en-US"/>
        </w:rPr>
      </w:pPr>
      <w:r w:rsidRPr="00BB714F">
        <w:rPr>
          <w:rStyle w:val="EndnoteReference"/>
          <w:sz w:val="24"/>
          <w:szCs w:val="24"/>
        </w:rPr>
        <w:endnoteRef/>
      </w:r>
      <w:r w:rsidRPr="00BB714F">
        <w:rPr>
          <w:sz w:val="24"/>
          <w:szCs w:val="24"/>
        </w:rPr>
        <w:t xml:space="preserve"> </w:t>
      </w:r>
      <w:r>
        <w:rPr>
          <w:sz w:val="24"/>
          <w:szCs w:val="24"/>
        </w:rPr>
        <w:tab/>
      </w:r>
      <w:r w:rsidRPr="00BB714F">
        <w:rPr>
          <w:sz w:val="24"/>
          <w:szCs w:val="24"/>
        </w:rPr>
        <w:t>Auckland Design Manual. Universal Design. Accessed from: https://www.aucklanddesignmanual.co.nz/design-subjects/universal_design</w:t>
      </w:r>
    </w:p>
  </w:endnote>
  <w:endnote w:id="10">
    <w:p w14:paraId="09E03C12" w14:textId="77777777" w:rsidR="0081731C" w:rsidRPr="00BB714F" w:rsidRDefault="0081731C" w:rsidP="0081731C">
      <w:pPr>
        <w:pStyle w:val="EndnoteText"/>
        <w:spacing w:after="240"/>
        <w:ind w:left="567" w:hanging="567"/>
        <w:rPr>
          <w:lang w:val="en-US"/>
        </w:rPr>
      </w:pPr>
      <w:r w:rsidRPr="00BB714F">
        <w:rPr>
          <w:rStyle w:val="EndnoteReference"/>
          <w:sz w:val="24"/>
          <w:szCs w:val="24"/>
        </w:rPr>
        <w:endnoteRef/>
      </w:r>
      <w:r w:rsidRPr="00BB714F">
        <w:rPr>
          <w:sz w:val="24"/>
          <w:szCs w:val="24"/>
        </w:rPr>
        <w:t xml:space="preserve"> </w:t>
      </w:r>
      <w:r>
        <w:rPr>
          <w:sz w:val="24"/>
          <w:szCs w:val="24"/>
        </w:rPr>
        <w:tab/>
      </w:r>
      <w:r w:rsidRPr="00BB714F">
        <w:rPr>
          <w:sz w:val="24"/>
          <w:szCs w:val="24"/>
        </w:rPr>
        <w:t>Statistics NZ. Dwelling and household estimates: September 2019 quarter. Accessed from: https://www.stats.govt.nz/information-releases/dwelling-and-household-estimates-september-2019-quarter</w:t>
      </w:r>
    </w:p>
  </w:endnote>
  <w:endnote w:id="11">
    <w:p w14:paraId="7A6D42B8" w14:textId="77777777" w:rsidR="0081731C" w:rsidRPr="001A7AB0" w:rsidRDefault="0081731C" w:rsidP="0081731C">
      <w:pPr>
        <w:ind w:left="567" w:hanging="567"/>
        <w:rPr>
          <w:lang w:val="en-US"/>
        </w:rPr>
      </w:pPr>
      <w:r w:rsidRPr="001A7AB0">
        <w:rPr>
          <w:rStyle w:val="EndnoteReference"/>
          <w:szCs w:val="24"/>
        </w:rPr>
        <w:endnoteRef/>
      </w:r>
      <w:r w:rsidRPr="001A7AB0">
        <w:t xml:space="preserve"> </w:t>
      </w:r>
      <w:r w:rsidRPr="001A7AB0">
        <w:tab/>
      </w:r>
      <w:r w:rsidRPr="001A7AB0">
        <w:rPr>
          <w:rFonts w:cs="Arial"/>
        </w:rPr>
        <w:t xml:space="preserve">Smith, K. (2016). </w:t>
      </w:r>
      <w:r w:rsidRPr="001A7AB0">
        <w:rPr>
          <w:rFonts w:cs="Arial"/>
          <w:i/>
          <w:iCs/>
        </w:rPr>
        <w:t xml:space="preserve">New Zealanders with disabilities and their Internet use. </w:t>
      </w:r>
      <w:r w:rsidRPr="001A7AB0">
        <w:rPr>
          <w:rFonts w:cs="Arial"/>
        </w:rPr>
        <w:t>Retrieved from:</w:t>
      </w:r>
      <w:r w:rsidRPr="001A7AB0">
        <w:rPr>
          <w:rFonts w:cs="Arial"/>
          <w:i/>
          <w:iCs/>
        </w:rPr>
        <w:t xml:space="preserve"> </w:t>
      </w:r>
      <w:r w:rsidRPr="001A7AB0">
        <w:rPr>
          <w:rFonts w:cs="Arial"/>
        </w:rPr>
        <w:t>https://icdc.aut.ac.nz/__data/assets/pdf_file/0008/73439/New-Zealanders-with-disabilities-and-their-internetuse.pdf.</w:t>
      </w:r>
    </w:p>
  </w:endnote>
  <w:endnote w:id="12">
    <w:p w14:paraId="4CA59849" w14:textId="77777777" w:rsidR="0081731C" w:rsidRPr="001A7AB0" w:rsidRDefault="0081731C" w:rsidP="0081731C">
      <w:pPr>
        <w:ind w:left="567" w:hanging="567"/>
        <w:rPr>
          <w:lang w:val="en-US"/>
        </w:rPr>
      </w:pPr>
      <w:r w:rsidRPr="001A7AB0">
        <w:rPr>
          <w:rStyle w:val="EndnoteReference"/>
          <w:szCs w:val="24"/>
        </w:rPr>
        <w:endnoteRef/>
      </w:r>
      <w:r w:rsidRPr="001A7AB0">
        <w:t xml:space="preserve"> </w:t>
      </w:r>
      <w:r w:rsidRPr="001A7AB0">
        <w:tab/>
      </w:r>
      <w:r w:rsidRPr="001A7AB0">
        <w:rPr>
          <w:rFonts w:eastAsia="Calibri Light" w:cs="Arial"/>
        </w:rPr>
        <w:t xml:space="preserve">Welfare Expert Advisory Group Report. (2018). </w:t>
      </w:r>
      <w:r w:rsidRPr="001A7AB0">
        <w:rPr>
          <w:rFonts w:eastAsia="Calibri Light" w:cs="Arial"/>
          <w:i/>
          <w:iCs/>
        </w:rPr>
        <w:t>Whakamana Tāngata: Restoring dignity to social security in New Zealand.</w:t>
      </w:r>
      <w:r w:rsidRPr="001A7AB0">
        <w:rPr>
          <w:rFonts w:eastAsia="Calibri Light" w:cs="Arial"/>
        </w:rPr>
        <w:t xml:space="preserve"> Retrieved from: </w:t>
      </w:r>
      <w:r w:rsidRPr="001A7AB0">
        <w:rPr>
          <w:rFonts w:cs="Arial"/>
        </w:rPr>
        <w:t>http://www.weag.govt.nz/weag-report/</w:t>
      </w:r>
    </w:p>
  </w:endnote>
  <w:endnote w:id="13">
    <w:p w14:paraId="07D003B6" w14:textId="77777777" w:rsidR="0081731C" w:rsidRPr="001A7AB0" w:rsidRDefault="0081731C" w:rsidP="0081731C">
      <w:pPr>
        <w:ind w:left="567" w:hanging="567"/>
        <w:rPr>
          <w:lang w:val="en-US"/>
        </w:rPr>
      </w:pPr>
      <w:r w:rsidRPr="001A7AB0">
        <w:rPr>
          <w:rStyle w:val="EndnoteReference"/>
          <w:szCs w:val="24"/>
        </w:rPr>
        <w:endnoteRef/>
      </w:r>
      <w:r w:rsidRPr="001A7AB0">
        <w:rPr>
          <w:rFonts w:eastAsia="Calibri Light" w:cs="Arial"/>
        </w:rPr>
        <w:t xml:space="preserve">  </w:t>
      </w:r>
      <w:r>
        <w:rPr>
          <w:rFonts w:eastAsia="Calibri Light" w:cs="Arial"/>
        </w:rPr>
        <w:tab/>
      </w:r>
      <w:r w:rsidRPr="001A7AB0">
        <w:rPr>
          <w:rFonts w:eastAsia="Calibri Light" w:cs="Arial"/>
        </w:rPr>
        <w:t>Ibid.</w:t>
      </w:r>
    </w:p>
  </w:endnote>
  <w:endnote w:id="14">
    <w:p w14:paraId="522B12C4" w14:textId="77777777" w:rsidR="0081731C" w:rsidRPr="002C0A6C" w:rsidRDefault="0081731C" w:rsidP="0081731C">
      <w:pPr>
        <w:ind w:left="567" w:hanging="567"/>
        <w:rPr>
          <w:lang w:val="en-US"/>
        </w:rPr>
      </w:pPr>
      <w:r>
        <w:rPr>
          <w:rStyle w:val="EndnoteReference"/>
        </w:rPr>
        <w:endnoteRef/>
      </w:r>
      <w:r>
        <w:t xml:space="preserve"> </w:t>
      </w:r>
      <w:r>
        <w:tab/>
        <w:t xml:space="preserve">Statistics NZ. (2013). </w:t>
      </w:r>
      <w:r w:rsidRPr="00BB7AB9">
        <w:rPr>
          <w:i/>
          <w:iCs/>
        </w:rPr>
        <w:t>Disability survey: 2013.</w:t>
      </w:r>
      <w:r>
        <w:t xml:space="preserve"> Retrieved from: </w:t>
      </w:r>
      <w:r w:rsidRPr="002C0A6C">
        <w:t>https://www.stats.govt.nz/information-releases/disability-survey-2013</w:t>
      </w:r>
    </w:p>
  </w:endnote>
  <w:endnote w:id="15">
    <w:p w14:paraId="597BC524" w14:textId="77777777" w:rsidR="0081731C" w:rsidRPr="00466A98" w:rsidRDefault="0081731C" w:rsidP="0081731C">
      <w:pPr>
        <w:ind w:left="567" w:hanging="567"/>
        <w:rPr>
          <w:lang w:val="en-US"/>
        </w:rPr>
      </w:pPr>
      <w:r w:rsidRPr="001A7AB0">
        <w:rPr>
          <w:rStyle w:val="EndnoteReference"/>
          <w:szCs w:val="24"/>
        </w:rPr>
        <w:endnoteRef/>
      </w:r>
      <w:r w:rsidRPr="001A7AB0">
        <w:t xml:space="preserve"> </w:t>
      </w:r>
      <w:r>
        <w:tab/>
      </w:r>
      <w:r w:rsidRPr="001A7AB0">
        <w:rPr>
          <w:rFonts w:eastAsia="Calibri Light" w:cs="Arial"/>
        </w:rPr>
        <w:t xml:space="preserve">Welfare Expert Advisory Group Report. (2018). </w:t>
      </w:r>
      <w:r w:rsidRPr="001A7AB0">
        <w:rPr>
          <w:rFonts w:eastAsia="Calibri Light" w:cs="Arial"/>
          <w:i/>
          <w:iCs/>
        </w:rPr>
        <w:t xml:space="preserve">Whakamana Tāngata: Restoring dignity to </w:t>
      </w:r>
      <w:r w:rsidRPr="00466A98">
        <w:rPr>
          <w:rFonts w:eastAsia="Calibri Light" w:cs="Arial"/>
          <w:i/>
          <w:iCs/>
        </w:rPr>
        <w:t>social security in New Zealand.</w:t>
      </w:r>
      <w:r w:rsidRPr="00466A98">
        <w:rPr>
          <w:rFonts w:eastAsia="Calibri Light" w:cs="Arial"/>
        </w:rPr>
        <w:t xml:space="preserve"> Retrieved from: </w:t>
      </w:r>
      <w:r w:rsidRPr="00466A98">
        <w:rPr>
          <w:rFonts w:cs="Arial"/>
        </w:rPr>
        <w:t>http://www.weag.govt.nz/weag-report/</w:t>
      </w:r>
    </w:p>
  </w:endnote>
  <w:endnote w:id="16">
    <w:p w14:paraId="7C46CB0B" w14:textId="77777777" w:rsidR="0081731C" w:rsidRPr="00466A98" w:rsidRDefault="0081731C" w:rsidP="0081731C">
      <w:pPr>
        <w:ind w:left="567" w:hanging="567"/>
        <w:rPr>
          <w:lang w:val="en-US"/>
        </w:rPr>
      </w:pPr>
      <w:r w:rsidRPr="00466A98">
        <w:rPr>
          <w:rStyle w:val="EndnoteReference"/>
          <w:szCs w:val="24"/>
        </w:rPr>
        <w:endnoteRef/>
      </w:r>
      <w:r>
        <w:t xml:space="preserve">    </w:t>
      </w:r>
      <w:r>
        <w:tab/>
      </w:r>
      <w:r w:rsidRPr="00466A98">
        <w:t xml:space="preserve">Reserve Bank of New Zealand Te Pūtea Matua. (2022). </w:t>
      </w:r>
      <w:r w:rsidRPr="00466A98">
        <w:rPr>
          <w:i/>
          <w:iCs/>
        </w:rPr>
        <w:t>Inflation Calculator:</w:t>
      </w:r>
      <w:r w:rsidRPr="00466A98">
        <w:t xml:space="preserve"> Value of $1 from 2002 Q1 to 2022 Q1. Retrieved from: https://infcal.rbnz.govt.nz/inflation-calculator</w:t>
      </w:r>
    </w:p>
  </w:endnote>
  <w:endnote w:id="17">
    <w:p w14:paraId="42E86473" w14:textId="77777777" w:rsidR="0081731C" w:rsidRPr="00796628" w:rsidRDefault="0081731C" w:rsidP="0081731C">
      <w:pPr>
        <w:ind w:left="567" w:hanging="567"/>
        <w:rPr>
          <w:lang w:val="en-US"/>
        </w:rPr>
      </w:pPr>
      <w:r w:rsidRPr="001A7AB0">
        <w:rPr>
          <w:rStyle w:val="EndnoteReference"/>
          <w:szCs w:val="24"/>
        </w:rPr>
        <w:endnoteRef/>
      </w:r>
      <w:r w:rsidRPr="001A7AB0">
        <w:t xml:space="preserve"> </w:t>
      </w:r>
      <w:r w:rsidRPr="001A7AB0">
        <w:tab/>
        <w:t xml:space="preserve">Ministry of Health. (2017). </w:t>
      </w:r>
      <w:r w:rsidRPr="001A7AB0">
        <w:rPr>
          <w:i/>
          <w:iCs/>
        </w:rPr>
        <w:t>A Guide to Community Engagement with People with Disabilities.</w:t>
      </w:r>
      <w:r w:rsidRPr="001A7AB0">
        <w:t xml:space="preserve"> Retrieved from: https://www.health.govt.nz/system/files/documents/publications/guide-</w:t>
      </w:r>
      <w:r w:rsidRPr="00796628">
        <w:t>community-engagement-people-disabilities-2nd-edn-apr17.docx</w:t>
      </w:r>
    </w:p>
  </w:endnote>
  <w:endnote w:id="18">
    <w:p w14:paraId="68626891" w14:textId="77777777" w:rsidR="0081731C" w:rsidRPr="000B63BE" w:rsidRDefault="0081731C" w:rsidP="0081731C">
      <w:pPr>
        <w:ind w:left="567" w:hanging="567"/>
        <w:rPr>
          <w:lang w:val="en-US"/>
        </w:rPr>
      </w:pPr>
      <w:r w:rsidRPr="00796628">
        <w:rPr>
          <w:rStyle w:val="EndnoteReference"/>
          <w:szCs w:val="24"/>
        </w:rPr>
        <w:endnoteRef/>
      </w:r>
      <w:r w:rsidRPr="00796628">
        <w:t xml:space="preserve"> </w:t>
      </w:r>
      <w:r>
        <w:t xml:space="preserve">   </w:t>
      </w:r>
      <w:r>
        <w:tab/>
      </w:r>
      <w:r w:rsidRPr="00796628">
        <w:t xml:space="preserve">Employment New Zealand. (2022). </w:t>
      </w:r>
      <w:r w:rsidRPr="00796628">
        <w:rPr>
          <w:i/>
          <w:iCs/>
        </w:rPr>
        <w:t>Minimum wage exemption for people with disability.</w:t>
      </w:r>
      <w:r w:rsidRPr="00796628">
        <w:t xml:space="preserve"> Retrieved from: https://www.employment.govt.nz/hours-and-wages/pay/minimum-wage/minimum-wage-exemptions/#scrollto-showing-that-the-wage-is-fair</w:t>
      </w:r>
    </w:p>
  </w:endnote>
  <w:endnote w:id="19">
    <w:p w14:paraId="225265E2" w14:textId="77777777" w:rsidR="0081731C" w:rsidRPr="00415DA3" w:rsidRDefault="0081731C" w:rsidP="0081731C">
      <w:pPr>
        <w:ind w:left="567" w:hanging="567"/>
        <w:rPr>
          <w:lang w:val="en-US"/>
        </w:rPr>
      </w:pPr>
      <w:r>
        <w:rPr>
          <w:rStyle w:val="EndnoteReference"/>
        </w:rPr>
        <w:endnoteRef/>
      </w:r>
      <w:r>
        <w:t xml:space="preserve"> </w:t>
      </w:r>
      <w:r>
        <w:rPr>
          <w:lang w:val="en-US"/>
        </w:rPr>
        <w:t xml:space="preserve">    </w:t>
      </w:r>
      <w:r w:rsidRPr="00F27564">
        <w:rPr>
          <w:lang w:val="en-US"/>
        </w:rPr>
        <w:t xml:space="preserve">1news. (2022). </w:t>
      </w:r>
      <w:r w:rsidRPr="00F27564">
        <w:rPr>
          <w:i/>
          <w:iCs/>
          <w:lang w:val="en-US"/>
        </w:rPr>
        <w:t>Minimum wage exemption still in place for disabled workers.</w:t>
      </w:r>
      <w:r w:rsidRPr="00F27564">
        <w:rPr>
          <w:lang w:val="en-US"/>
        </w:rPr>
        <w:t xml:space="preserve"> Retrieved from: https://www</w:t>
      </w:r>
      <w:r w:rsidRPr="00415DA3">
        <w:rPr>
          <w:lang w:val="en-US"/>
        </w:rPr>
        <w:t>.1news.co.nz/2022/04/12/minimum-wage-exemption-still-in-place-for-disabled-workers/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08D3" w14:textId="77777777" w:rsidR="00815251" w:rsidRDefault="00815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CC318" w14:textId="77777777" w:rsidR="00815251" w:rsidRDefault="008152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31FA" w14:textId="77777777" w:rsidR="00815251" w:rsidRDefault="00815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C61A9" w14:textId="77777777" w:rsidR="002F4D0C" w:rsidRDefault="002F4D0C">
      <w:pPr>
        <w:spacing w:after="0"/>
      </w:pPr>
      <w:r>
        <w:separator/>
      </w:r>
    </w:p>
  </w:footnote>
  <w:footnote w:type="continuationSeparator" w:id="0">
    <w:p w14:paraId="629EFC93" w14:textId="77777777" w:rsidR="002F4D0C" w:rsidRDefault="002F4D0C">
      <w:pPr>
        <w:spacing w:after="0"/>
      </w:pPr>
      <w:r>
        <w:continuationSeparator/>
      </w:r>
    </w:p>
  </w:footnote>
  <w:footnote w:type="continuationNotice" w:id="1">
    <w:p w14:paraId="775551B3" w14:textId="77777777" w:rsidR="002F4D0C" w:rsidRDefault="002F4D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00964" w14:textId="77777777" w:rsidR="00815251" w:rsidRDefault="008152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729F" w14:textId="36F26BA8" w:rsidR="00815251" w:rsidRDefault="008152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A587" w14:textId="77777777" w:rsidR="00815251" w:rsidRDefault="008152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36F35"/>
    <w:multiLevelType w:val="hybridMultilevel"/>
    <w:tmpl w:val="26061B52"/>
    <w:lvl w:ilvl="0" w:tplc="0D188FC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CF51678"/>
    <w:multiLevelType w:val="hybridMultilevel"/>
    <w:tmpl w:val="3732E5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1850369"/>
    <w:multiLevelType w:val="hybridMultilevel"/>
    <w:tmpl w:val="A10268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CB751BB"/>
    <w:multiLevelType w:val="hybridMultilevel"/>
    <w:tmpl w:val="7CF08C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01A6144"/>
    <w:multiLevelType w:val="hybridMultilevel"/>
    <w:tmpl w:val="956CBD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D835B71"/>
    <w:multiLevelType w:val="hybridMultilevel"/>
    <w:tmpl w:val="A99C55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39588532">
    <w:abstractNumId w:val="0"/>
  </w:num>
  <w:num w:numId="2" w16cid:durableId="847520891">
    <w:abstractNumId w:val="5"/>
  </w:num>
  <w:num w:numId="3" w16cid:durableId="757211649">
    <w:abstractNumId w:val="2"/>
  </w:num>
  <w:num w:numId="4" w16cid:durableId="953754715">
    <w:abstractNumId w:val="3"/>
  </w:num>
  <w:num w:numId="5" w16cid:durableId="1908807076">
    <w:abstractNumId w:val="4"/>
  </w:num>
  <w:num w:numId="6" w16cid:durableId="2130783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2E1"/>
    <w:rsid w:val="00014094"/>
    <w:rsid w:val="00021CB8"/>
    <w:rsid w:val="00033A2B"/>
    <w:rsid w:val="000935A8"/>
    <w:rsid w:val="000B12E1"/>
    <w:rsid w:val="00131514"/>
    <w:rsid w:val="00137821"/>
    <w:rsid w:val="00185CC2"/>
    <w:rsid w:val="00190121"/>
    <w:rsid w:val="00193F1A"/>
    <w:rsid w:val="001B0F2D"/>
    <w:rsid w:val="002054F9"/>
    <w:rsid w:val="00227F89"/>
    <w:rsid w:val="00235814"/>
    <w:rsid w:val="00250E3F"/>
    <w:rsid w:val="002C6F14"/>
    <w:rsid w:val="002F4D0C"/>
    <w:rsid w:val="003016A0"/>
    <w:rsid w:val="00310E9C"/>
    <w:rsid w:val="00347560"/>
    <w:rsid w:val="0037159D"/>
    <w:rsid w:val="00380902"/>
    <w:rsid w:val="003A720F"/>
    <w:rsid w:val="0041155B"/>
    <w:rsid w:val="004313DE"/>
    <w:rsid w:val="00591FD6"/>
    <w:rsid w:val="00603061"/>
    <w:rsid w:val="0062014F"/>
    <w:rsid w:val="006250A9"/>
    <w:rsid w:val="00647EE6"/>
    <w:rsid w:val="00677479"/>
    <w:rsid w:val="00681840"/>
    <w:rsid w:val="006C3FB7"/>
    <w:rsid w:val="00733E1F"/>
    <w:rsid w:val="00752766"/>
    <w:rsid w:val="0077123D"/>
    <w:rsid w:val="007912C2"/>
    <w:rsid w:val="007A2A05"/>
    <w:rsid w:val="007B50C9"/>
    <w:rsid w:val="007F0038"/>
    <w:rsid w:val="007F3A52"/>
    <w:rsid w:val="00815251"/>
    <w:rsid w:val="0081731C"/>
    <w:rsid w:val="00877FD2"/>
    <w:rsid w:val="00880633"/>
    <w:rsid w:val="008C3E6C"/>
    <w:rsid w:val="008C78F1"/>
    <w:rsid w:val="00902E82"/>
    <w:rsid w:val="009075BD"/>
    <w:rsid w:val="00937385"/>
    <w:rsid w:val="00955D7A"/>
    <w:rsid w:val="009B397B"/>
    <w:rsid w:val="00A764BD"/>
    <w:rsid w:val="00A923C8"/>
    <w:rsid w:val="00A93F0B"/>
    <w:rsid w:val="00AA300D"/>
    <w:rsid w:val="00AA63D8"/>
    <w:rsid w:val="00B9290E"/>
    <w:rsid w:val="00BB23CC"/>
    <w:rsid w:val="00BC2AE2"/>
    <w:rsid w:val="00BE5842"/>
    <w:rsid w:val="00C0173E"/>
    <w:rsid w:val="00C064B9"/>
    <w:rsid w:val="00C26B86"/>
    <w:rsid w:val="00C33159"/>
    <w:rsid w:val="00C33B81"/>
    <w:rsid w:val="00C5025D"/>
    <w:rsid w:val="00C542D7"/>
    <w:rsid w:val="00C95414"/>
    <w:rsid w:val="00CA7940"/>
    <w:rsid w:val="00CB11C3"/>
    <w:rsid w:val="00CF0A04"/>
    <w:rsid w:val="00DD1E24"/>
    <w:rsid w:val="00DD6D0E"/>
    <w:rsid w:val="00DE024A"/>
    <w:rsid w:val="00DE2C6C"/>
    <w:rsid w:val="00E42454"/>
    <w:rsid w:val="00EB0C30"/>
    <w:rsid w:val="00ED2118"/>
    <w:rsid w:val="00ED4782"/>
    <w:rsid w:val="00ED4A45"/>
    <w:rsid w:val="00F2456B"/>
    <w:rsid w:val="00F60B28"/>
    <w:rsid w:val="00F71E02"/>
    <w:rsid w:val="00F829A7"/>
    <w:rsid w:val="00FA0E30"/>
    <w:rsid w:val="00FA212C"/>
    <w:rsid w:val="00FC097F"/>
    <w:rsid w:val="00FC743E"/>
    <w:rsid w:val="00FE307C"/>
    <w:rsid w:val="00FF55E8"/>
    <w:rsid w:val="00FF68EE"/>
    <w:rsid w:val="0252349D"/>
    <w:rsid w:val="07630923"/>
    <w:rsid w:val="1E9E8616"/>
    <w:rsid w:val="2369792A"/>
    <w:rsid w:val="24DF2DF0"/>
    <w:rsid w:val="3755EE53"/>
    <w:rsid w:val="4F0A98C1"/>
    <w:rsid w:val="554A80CB"/>
    <w:rsid w:val="7894822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90262"/>
  <w15:chartTrackingRefBased/>
  <w15:docId w15:val="{008FCCEA-C938-46C5-BCFE-FA47579E1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514"/>
    <w:pPr>
      <w:spacing w:after="240" w:line="240" w:lineRule="auto"/>
    </w:pPr>
    <w:rPr>
      <w:rFonts w:ascii="Arial" w:hAnsi="Arial"/>
      <w:kern w:val="0"/>
      <w:sz w:val="24"/>
      <w14:ligatures w14:val="none"/>
    </w:rPr>
  </w:style>
  <w:style w:type="paragraph" w:styleId="Heading1">
    <w:name w:val="heading 1"/>
    <w:basedOn w:val="Normal"/>
    <w:next w:val="Normal"/>
    <w:link w:val="Heading1Char"/>
    <w:uiPriority w:val="9"/>
    <w:qFormat/>
    <w:rsid w:val="000B12E1"/>
    <w:pPr>
      <w:keepNext/>
      <w:keepLines/>
      <w:spacing w:after="480"/>
      <w:outlineLvl w:val="0"/>
    </w:pPr>
    <w:rPr>
      <w:rFonts w:eastAsiaTheme="majorEastAsia" w:cstheme="majorBidi"/>
      <w:b/>
      <w:color w:val="002060"/>
      <w:sz w:val="66"/>
      <w:szCs w:val="32"/>
    </w:rPr>
  </w:style>
  <w:style w:type="paragraph" w:styleId="Heading2">
    <w:name w:val="heading 2"/>
    <w:basedOn w:val="Normal"/>
    <w:next w:val="Normal"/>
    <w:link w:val="Heading2Char"/>
    <w:uiPriority w:val="9"/>
    <w:qFormat/>
    <w:rsid w:val="000B12E1"/>
    <w:pPr>
      <w:keepNext/>
      <w:keepLines/>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qFormat/>
    <w:rsid w:val="00131514"/>
    <w:pPr>
      <w:keepNext/>
      <w:keepLines/>
      <w:spacing w:before="120" w:after="120"/>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2054F9"/>
    <w:pPr>
      <w:keepNext/>
      <w:keepLines/>
      <w:spacing w:before="180" w:after="180"/>
      <w:outlineLvl w:val="3"/>
    </w:pPr>
    <w:rPr>
      <w:rFonts w:eastAsiaTheme="majorEastAsia" w:cstheme="majorBidi"/>
      <w:b/>
      <w:iCs/>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2E1"/>
    <w:rPr>
      <w:rFonts w:ascii="Arial" w:eastAsiaTheme="majorEastAsia" w:hAnsi="Arial" w:cstheme="majorBidi"/>
      <w:b/>
      <w:color w:val="002060"/>
      <w:kern w:val="0"/>
      <w:sz w:val="66"/>
      <w:szCs w:val="32"/>
      <w14:ligatures w14:val="none"/>
    </w:rPr>
  </w:style>
  <w:style w:type="character" w:customStyle="1" w:styleId="Heading2Char">
    <w:name w:val="Heading 2 Char"/>
    <w:basedOn w:val="DefaultParagraphFont"/>
    <w:link w:val="Heading2"/>
    <w:uiPriority w:val="9"/>
    <w:rsid w:val="000B12E1"/>
    <w:rPr>
      <w:rFonts w:ascii="Arial" w:eastAsiaTheme="majorEastAsia" w:hAnsi="Arial" w:cstheme="majorBidi"/>
      <w:b/>
      <w:kern w:val="0"/>
      <w:sz w:val="32"/>
      <w:szCs w:val="26"/>
      <w14:ligatures w14:val="none"/>
    </w:rPr>
  </w:style>
  <w:style w:type="character" w:customStyle="1" w:styleId="Heading3Char">
    <w:name w:val="Heading 3 Char"/>
    <w:basedOn w:val="DefaultParagraphFont"/>
    <w:link w:val="Heading3"/>
    <w:uiPriority w:val="9"/>
    <w:rsid w:val="00131514"/>
    <w:rPr>
      <w:rFonts w:ascii="Arial" w:eastAsiaTheme="majorEastAsia" w:hAnsi="Arial" w:cstheme="majorBidi"/>
      <w:b/>
      <w:color w:val="002060"/>
      <w:kern w:val="0"/>
      <w:sz w:val="28"/>
      <w:szCs w:val="24"/>
      <w14:ligatures w14:val="none"/>
    </w:rPr>
  </w:style>
  <w:style w:type="character" w:customStyle="1" w:styleId="Heading4Char">
    <w:name w:val="Heading 4 Char"/>
    <w:basedOn w:val="DefaultParagraphFont"/>
    <w:link w:val="Heading4"/>
    <w:uiPriority w:val="9"/>
    <w:rsid w:val="002054F9"/>
    <w:rPr>
      <w:rFonts w:ascii="Arial" w:eastAsiaTheme="majorEastAsia" w:hAnsi="Arial" w:cstheme="majorBidi"/>
      <w:b/>
      <w:iCs/>
      <w:color w:val="002060"/>
      <w:sz w:val="24"/>
    </w:rPr>
  </w:style>
  <w:style w:type="paragraph" w:styleId="Title">
    <w:name w:val="Title"/>
    <w:basedOn w:val="Normal"/>
    <w:next w:val="Normal"/>
    <w:link w:val="TitleChar"/>
    <w:uiPriority w:val="10"/>
    <w:qFormat/>
    <w:rsid w:val="002054F9"/>
    <w:pPr>
      <w:spacing w:after="0"/>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2054F9"/>
    <w:rPr>
      <w:rFonts w:ascii="Arial" w:eastAsiaTheme="majorEastAsia" w:hAnsi="Arial" w:cstheme="majorBidi"/>
      <w:spacing w:val="-10"/>
      <w:kern w:val="28"/>
      <w:sz w:val="52"/>
      <w:szCs w:val="56"/>
    </w:rPr>
  </w:style>
  <w:style w:type="paragraph" w:styleId="Header">
    <w:name w:val="header"/>
    <w:basedOn w:val="Normal"/>
    <w:link w:val="HeaderChar"/>
    <w:uiPriority w:val="99"/>
    <w:unhideWhenUsed/>
    <w:rsid w:val="000B12E1"/>
    <w:pPr>
      <w:tabs>
        <w:tab w:val="center" w:pos="4513"/>
        <w:tab w:val="right" w:pos="9026"/>
      </w:tabs>
      <w:spacing w:after="0"/>
    </w:pPr>
    <w:rPr>
      <w:rFonts w:eastAsia="Times New Roman" w:cs="Times New Roman"/>
      <w:szCs w:val="20"/>
      <w:lang w:val="en-GB"/>
    </w:rPr>
  </w:style>
  <w:style w:type="character" w:customStyle="1" w:styleId="HeaderChar">
    <w:name w:val="Header Char"/>
    <w:basedOn w:val="DefaultParagraphFont"/>
    <w:link w:val="Header"/>
    <w:uiPriority w:val="99"/>
    <w:rsid w:val="000B12E1"/>
    <w:rPr>
      <w:rFonts w:ascii="Arial" w:eastAsia="Times New Roman" w:hAnsi="Arial" w:cs="Times New Roman"/>
      <w:kern w:val="0"/>
      <w:sz w:val="24"/>
      <w:szCs w:val="20"/>
      <w:lang w:val="en-GB"/>
      <w14:ligatures w14:val="none"/>
    </w:rPr>
  </w:style>
  <w:style w:type="paragraph" w:styleId="Footer">
    <w:name w:val="footer"/>
    <w:basedOn w:val="Normal"/>
    <w:link w:val="FooterChar"/>
    <w:uiPriority w:val="99"/>
    <w:unhideWhenUsed/>
    <w:rsid w:val="000B12E1"/>
    <w:pPr>
      <w:tabs>
        <w:tab w:val="center" w:pos="4513"/>
        <w:tab w:val="right" w:pos="9026"/>
      </w:tabs>
      <w:spacing w:after="0"/>
    </w:pPr>
    <w:rPr>
      <w:rFonts w:eastAsia="Times New Roman" w:cs="Times New Roman"/>
      <w:szCs w:val="20"/>
      <w:lang w:val="en-GB"/>
    </w:rPr>
  </w:style>
  <w:style w:type="character" w:customStyle="1" w:styleId="FooterChar">
    <w:name w:val="Footer Char"/>
    <w:basedOn w:val="DefaultParagraphFont"/>
    <w:link w:val="Footer"/>
    <w:uiPriority w:val="99"/>
    <w:rsid w:val="000B12E1"/>
    <w:rPr>
      <w:rFonts w:ascii="Arial" w:eastAsia="Times New Roman" w:hAnsi="Arial" w:cs="Times New Roman"/>
      <w:kern w:val="0"/>
      <w:sz w:val="24"/>
      <w:szCs w:val="20"/>
      <w:lang w:val="en-GB"/>
      <w14:ligatures w14:val="none"/>
    </w:rPr>
  </w:style>
  <w:style w:type="character" w:styleId="Hyperlink">
    <w:name w:val="Hyperlink"/>
    <w:basedOn w:val="DefaultParagraphFont"/>
    <w:uiPriority w:val="99"/>
    <w:unhideWhenUsed/>
    <w:rsid w:val="000B12E1"/>
    <w:rPr>
      <w:color w:val="0563C1" w:themeColor="hyperlink"/>
      <w:u w:val="single"/>
    </w:rPr>
  </w:style>
  <w:style w:type="character" w:styleId="UnresolvedMention">
    <w:name w:val="Unresolved Mention"/>
    <w:basedOn w:val="DefaultParagraphFont"/>
    <w:uiPriority w:val="99"/>
    <w:semiHidden/>
    <w:unhideWhenUsed/>
    <w:rsid w:val="000B12E1"/>
    <w:rPr>
      <w:color w:val="605E5C"/>
      <w:shd w:val="clear" w:color="auto" w:fill="E1DFDD"/>
    </w:rPr>
  </w:style>
  <w:style w:type="paragraph" w:styleId="ListParagraph">
    <w:name w:val="List Paragraph"/>
    <w:basedOn w:val="Normal"/>
    <w:uiPriority w:val="34"/>
    <w:qFormat/>
    <w:rsid w:val="00955D7A"/>
    <w:pPr>
      <w:ind w:left="720"/>
      <w:contextualSpacing/>
    </w:pPr>
  </w:style>
  <w:style w:type="character" w:styleId="FollowedHyperlink">
    <w:name w:val="FollowedHyperlink"/>
    <w:basedOn w:val="DefaultParagraphFont"/>
    <w:uiPriority w:val="99"/>
    <w:semiHidden/>
    <w:unhideWhenUsed/>
    <w:rsid w:val="00BE5842"/>
    <w:rPr>
      <w:color w:val="954F72" w:themeColor="followedHyperlink"/>
      <w:u w:val="single"/>
    </w:rPr>
  </w:style>
  <w:style w:type="character" w:styleId="FootnoteReference">
    <w:name w:val="footnote reference"/>
    <w:basedOn w:val="DefaultParagraphFont"/>
    <w:uiPriority w:val="99"/>
    <w:unhideWhenUsed/>
    <w:rsid w:val="0081731C"/>
    <w:rPr>
      <w:vertAlign w:val="superscript"/>
    </w:rPr>
  </w:style>
  <w:style w:type="character" w:customStyle="1" w:styleId="normaltextrun">
    <w:name w:val="normaltextrun"/>
    <w:basedOn w:val="DefaultParagraphFont"/>
    <w:rsid w:val="0081731C"/>
  </w:style>
  <w:style w:type="paragraph" w:styleId="EndnoteText">
    <w:name w:val="endnote text"/>
    <w:basedOn w:val="Normal"/>
    <w:link w:val="EndnoteTextChar"/>
    <w:uiPriority w:val="99"/>
    <w:semiHidden/>
    <w:unhideWhenUsed/>
    <w:rsid w:val="0081731C"/>
    <w:pPr>
      <w:spacing w:after="0"/>
    </w:pPr>
    <w:rPr>
      <w:color w:val="000000" w:themeColor="text1"/>
      <w:sz w:val="20"/>
      <w:szCs w:val="20"/>
    </w:rPr>
  </w:style>
  <w:style w:type="character" w:customStyle="1" w:styleId="EndnoteTextChar">
    <w:name w:val="Endnote Text Char"/>
    <w:basedOn w:val="DefaultParagraphFont"/>
    <w:link w:val="EndnoteText"/>
    <w:uiPriority w:val="99"/>
    <w:semiHidden/>
    <w:rsid w:val="0081731C"/>
    <w:rPr>
      <w:rFonts w:ascii="Arial" w:hAnsi="Arial"/>
      <w:color w:val="000000" w:themeColor="text1"/>
      <w:kern w:val="0"/>
      <w:sz w:val="20"/>
      <w:szCs w:val="20"/>
      <w14:ligatures w14:val="none"/>
    </w:rPr>
  </w:style>
  <w:style w:type="character" w:styleId="EndnoteReference">
    <w:name w:val="endnote reference"/>
    <w:basedOn w:val="DefaultParagraphFont"/>
    <w:uiPriority w:val="99"/>
    <w:semiHidden/>
    <w:unhideWhenUsed/>
    <w:rsid w:val="0081731C"/>
    <w:rPr>
      <w:vertAlign w:val="superscript"/>
    </w:rPr>
  </w:style>
  <w:style w:type="paragraph" w:styleId="FootnoteText">
    <w:name w:val="footnote text"/>
    <w:basedOn w:val="Normal"/>
    <w:link w:val="FootnoteTextChar"/>
    <w:uiPriority w:val="99"/>
    <w:semiHidden/>
    <w:unhideWhenUsed/>
    <w:rsid w:val="0081731C"/>
    <w:pPr>
      <w:spacing w:after="0"/>
    </w:pPr>
    <w:rPr>
      <w:sz w:val="20"/>
      <w:szCs w:val="20"/>
    </w:rPr>
  </w:style>
  <w:style w:type="character" w:customStyle="1" w:styleId="FootnoteTextChar">
    <w:name w:val="Footnote Text Char"/>
    <w:basedOn w:val="DefaultParagraphFont"/>
    <w:link w:val="FootnoteText"/>
    <w:uiPriority w:val="99"/>
    <w:semiHidden/>
    <w:rsid w:val="0081731C"/>
    <w:rPr>
      <w:rFonts w:ascii="Arial" w:hAnsi="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745951">
      <w:bodyDiv w:val="1"/>
      <w:marLeft w:val="0"/>
      <w:marRight w:val="0"/>
      <w:marTop w:val="0"/>
      <w:marBottom w:val="0"/>
      <w:divBdr>
        <w:top w:val="none" w:sz="0" w:space="0" w:color="auto"/>
        <w:left w:val="none" w:sz="0" w:space="0" w:color="auto"/>
        <w:bottom w:val="none" w:sz="0" w:space="0" w:color="auto"/>
        <w:right w:val="none" w:sz="0" w:space="0" w:color="auto"/>
      </w:divBdr>
    </w:div>
    <w:div w:id="1703363641">
      <w:bodyDiv w:val="1"/>
      <w:marLeft w:val="0"/>
      <w:marRight w:val="0"/>
      <w:marTop w:val="0"/>
      <w:marBottom w:val="0"/>
      <w:divBdr>
        <w:top w:val="none" w:sz="0" w:space="0" w:color="auto"/>
        <w:left w:val="none" w:sz="0" w:space="0" w:color="auto"/>
        <w:bottom w:val="none" w:sz="0" w:space="0" w:color="auto"/>
        <w:right w:val="none" w:sz="0" w:space="0" w:color="auto"/>
      </w:divBdr>
    </w:div>
    <w:div w:id="1798328403">
      <w:bodyDiv w:val="1"/>
      <w:marLeft w:val="0"/>
      <w:marRight w:val="0"/>
      <w:marTop w:val="0"/>
      <w:marBottom w:val="0"/>
      <w:divBdr>
        <w:top w:val="none" w:sz="0" w:space="0" w:color="auto"/>
        <w:left w:val="none" w:sz="0" w:space="0" w:color="auto"/>
        <w:bottom w:val="none" w:sz="0" w:space="0" w:color="auto"/>
        <w:right w:val="none" w:sz="0" w:space="0" w:color="auto"/>
      </w:divBdr>
    </w:div>
    <w:div w:id="211851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5" ma:contentTypeDescription="Create a new document." ma:contentTypeScope="" ma:versionID="4e4702ac53c3337637d4e846f94d161f">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ebbc3bce08bc7bc91bc95ace3c16ba31"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202811-E534-489B-B8EB-2AE862FC4209}">
  <ds:schemaRefs>
    <ds:schemaRef ds:uri="http://schemas.openxmlformats.org/officeDocument/2006/bibliography"/>
  </ds:schemaRefs>
</ds:datastoreItem>
</file>

<file path=customXml/itemProps2.xml><?xml version="1.0" encoding="utf-8"?>
<ds:datastoreItem xmlns:ds="http://schemas.openxmlformats.org/officeDocument/2006/customXml" ds:itemID="{C6B81096-1C98-4D22-80B9-EF640E24C561}">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customXml/itemProps3.xml><?xml version="1.0" encoding="utf-8"?>
<ds:datastoreItem xmlns:ds="http://schemas.openxmlformats.org/officeDocument/2006/customXml" ds:itemID="{31070C55-2E07-4BA9-B3A4-53D0DD78EC6A}">
  <ds:schemaRefs>
    <ds:schemaRef ds:uri="http://schemas.microsoft.com/sharepoint/v3/contenttype/forms"/>
  </ds:schemaRefs>
</ds:datastoreItem>
</file>

<file path=customXml/itemProps4.xml><?xml version="1.0" encoding="utf-8"?>
<ds:datastoreItem xmlns:ds="http://schemas.openxmlformats.org/officeDocument/2006/customXml" ds:itemID="{912FDE26-DE42-4D83-92D3-4EC3E70F0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728</Words>
  <Characters>4153</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Desmarais</dc:creator>
  <cp:keywords/>
  <dc:description/>
  <cp:lastModifiedBy>Emily Tilley</cp:lastModifiedBy>
  <cp:revision>2</cp:revision>
  <dcterms:created xsi:type="dcterms:W3CDTF">2023-04-16T22:45:00Z</dcterms:created>
  <dcterms:modified xsi:type="dcterms:W3CDTF">2023-04-16T22:45:00Z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