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0FCAE982" w:rsidR="00587C7D" w:rsidRPr="005244AE" w:rsidRDefault="00690982" w:rsidP="00E9298B">
      <w:r>
        <w:t>August 2021</w:t>
      </w:r>
    </w:p>
    <w:p w14:paraId="713BEF40" w14:textId="77777777" w:rsidR="00587C7D" w:rsidRPr="005244AE" w:rsidRDefault="00587C7D" w:rsidP="00E9298B"/>
    <w:p w14:paraId="23566296" w14:textId="77777777" w:rsidR="00587C7D" w:rsidRPr="005244AE" w:rsidRDefault="00587C7D" w:rsidP="00E9298B"/>
    <w:p w14:paraId="4410E38B" w14:textId="2869D03A" w:rsidR="000A33E1" w:rsidRDefault="00587C7D" w:rsidP="00E9298B">
      <w:r w:rsidRPr="005244AE">
        <w:t>To</w:t>
      </w:r>
      <w:r w:rsidR="00690982">
        <w:t xml:space="preserve"> the Economic Development, </w:t>
      </w:r>
      <w:proofErr w:type="gramStart"/>
      <w:r w:rsidR="00690982">
        <w:t>Science</w:t>
      </w:r>
      <w:proofErr w:type="gramEnd"/>
      <w:r w:rsidR="00690982">
        <w:t xml:space="preserve"> and Innovation Committee</w:t>
      </w:r>
    </w:p>
    <w:p w14:paraId="7E660148" w14:textId="77777777" w:rsidR="00690982" w:rsidRPr="005244AE" w:rsidRDefault="00690982" w:rsidP="00E9298B"/>
    <w:p w14:paraId="56F6172C" w14:textId="2F81FA3D" w:rsidR="00587C7D" w:rsidRDefault="00587C7D" w:rsidP="00E9298B">
      <w:r w:rsidRPr="000A33E1">
        <w:t xml:space="preserve">Please find </w:t>
      </w:r>
      <w:r w:rsidR="00690982">
        <w:t>below DPA’s submission on the inquiry into the review of the Radio New Zealand Charter</w:t>
      </w:r>
    </w:p>
    <w:p w14:paraId="34B1EFF5" w14:textId="77777777" w:rsidR="00587C7D" w:rsidRDefault="00587C7D" w:rsidP="00690982">
      <w:pPr>
        <w:pStyle w:val="NormalWeb"/>
        <w:shd w:val="clear" w:color="auto" w:fill="FFFFFF"/>
        <w:spacing w:before="360" w:beforeAutospacing="0" w:after="120" w:afterAutospacing="0" w:line="276" w:lineRule="auto"/>
        <w:ind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E9298B" w:rsidRDefault="00D26396" w:rsidP="00E9298B">
      <w:pPr>
        <w:pStyle w:val="Heading2"/>
        <w:jc w:val="center"/>
      </w:pPr>
      <w:r w:rsidRPr="00E9298B">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5ACBECCC" w14:textId="77777777" w:rsidR="00587C7D" w:rsidRPr="008E541D" w:rsidRDefault="00587C7D" w:rsidP="00E9298B">
      <w:pPr>
        <w:rPr>
          <w:rStyle w:val="Emphasis"/>
        </w:rPr>
      </w:pPr>
      <w:r w:rsidRPr="008E541D">
        <w:rPr>
          <w:rStyle w:val="Emphasis"/>
        </w:rPr>
        <w:t>Contact:</w:t>
      </w:r>
    </w:p>
    <w:p w14:paraId="5015F703"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Prudence Walker</w:t>
      </w:r>
    </w:p>
    <w:p w14:paraId="75B21F4E"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 xml:space="preserve">Chief Executive </w:t>
      </w:r>
    </w:p>
    <w:p w14:paraId="48FD3EBD" w14:textId="77777777" w:rsidR="000533B3" w:rsidRPr="00E9298B" w:rsidRDefault="000533B3" w:rsidP="00252A79">
      <w:pPr>
        <w:pStyle w:val="Heading2"/>
        <w:spacing w:before="0"/>
        <w:rPr>
          <w:rStyle w:val="Emphasis"/>
          <w:b/>
          <w:bCs/>
          <w:sz w:val="28"/>
          <w:szCs w:val="28"/>
        </w:rPr>
      </w:pPr>
      <w:r w:rsidRPr="00E9298B">
        <w:rPr>
          <w:rStyle w:val="Emphasis"/>
          <w:b/>
          <w:bCs/>
          <w:sz w:val="28"/>
          <w:szCs w:val="28"/>
        </w:rPr>
        <w:t>021 546 006</w:t>
      </w:r>
    </w:p>
    <w:p w14:paraId="2934C8B6" w14:textId="23DEF1B7" w:rsidR="00587C7D" w:rsidRPr="000533B3" w:rsidRDefault="00080EBD" w:rsidP="00252A79">
      <w:pPr>
        <w:pStyle w:val="Heading2"/>
        <w:spacing w:before="0"/>
      </w:pPr>
      <w:hyperlink r:id="rId8" w:history="1">
        <w:r w:rsidR="00C3131E" w:rsidRPr="00E9298B">
          <w:rPr>
            <w:rStyle w:val="Emphasis"/>
            <w:b/>
            <w:bCs/>
            <w:sz w:val="28"/>
            <w:szCs w:val="28"/>
          </w:rPr>
          <w:t>policy@dpa.org.nz</w:t>
        </w:r>
      </w:hyperlink>
      <w:r w:rsidR="00E47BC9">
        <w:rPr>
          <w:rStyle w:val="Hyperlink"/>
          <w:rFonts w:ascii="Arial" w:hAnsi="Arial"/>
          <w:color w:val="072B62" w:themeColor="background2" w:themeShade="40"/>
          <w:sz w:val="28"/>
          <w:szCs w:val="28"/>
          <w:u w:val="none"/>
        </w:rPr>
        <w:t xml:space="preserve"> </w:t>
      </w:r>
      <w:r w:rsidR="000533B3" w:rsidRPr="000533B3">
        <w:rPr>
          <w:color w:val="072B62" w:themeColor="background2" w:themeShade="40"/>
        </w:rPr>
        <w:t xml:space="preserve"> </w:t>
      </w:r>
      <w:r w:rsidR="00587C7D" w:rsidRPr="000533B3">
        <w:br w:type="page"/>
      </w:r>
    </w:p>
    <w:p w14:paraId="6904C149" w14:textId="77777777" w:rsidR="00634AEC" w:rsidRPr="004D53A5" w:rsidRDefault="00634AEC" w:rsidP="004D53A5">
      <w:pPr>
        <w:pStyle w:val="Heading1"/>
      </w:pPr>
      <w:r w:rsidRPr="004D53A5">
        <w:t>Introducing D</w:t>
      </w:r>
      <w:r w:rsidR="002E0071" w:rsidRPr="004D53A5">
        <w:t xml:space="preserve">isabled </w:t>
      </w:r>
      <w:r w:rsidRPr="004D53A5">
        <w:t>P</w:t>
      </w:r>
      <w:r w:rsidR="002E0071" w:rsidRPr="004D53A5">
        <w:t xml:space="preserve">ersons </w:t>
      </w:r>
      <w:r w:rsidRPr="004D53A5">
        <w:t>A</w:t>
      </w:r>
      <w:r w:rsidR="002E0071" w:rsidRPr="004D53A5">
        <w:t>ssembly</w:t>
      </w:r>
      <w:r w:rsidRPr="004D53A5">
        <w:t xml:space="preserve"> NZ</w:t>
      </w:r>
    </w:p>
    <w:p w14:paraId="74859CF7" w14:textId="0EF500B2"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8F0DD8">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2AC1CCBD" w:rsidP="003E3C38">
      <w:pPr>
        <w:pStyle w:val="ListParagraph"/>
        <w:numPr>
          <w:ilvl w:val="0"/>
          <w:numId w:val="2"/>
        </w:numPr>
        <w:spacing w:after="160"/>
        <w:rPr>
          <w:rFonts w:cs="Arial"/>
        </w:rPr>
      </w:pPr>
      <w:r w:rsidRPr="2AC1CCBD">
        <w:rPr>
          <w:rFonts w:cs="Arial"/>
        </w:rPr>
        <w:t>celebrating innovation and good practice</w:t>
      </w:r>
    </w:p>
    <w:p w14:paraId="2FE1217F" w14:textId="11F84CD5" w:rsidR="00690982" w:rsidRDefault="2AC1CCBD" w:rsidP="2AC1CCBD">
      <w:r w:rsidRPr="2AC1CCBD">
        <w:rPr>
          <w:rFonts w:eastAsia="Arial" w:cs="Arial"/>
          <w:b/>
          <w:bCs/>
          <w:color w:val="17365D"/>
          <w:szCs w:val="24"/>
          <w:u w:val="single"/>
          <w:lang w:val="en"/>
        </w:rPr>
        <w:t>UN Convention on the Rights of Persons with Disabilities (UNCRPD)</w:t>
      </w:r>
    </w:p>
    <w:p w14:paraId="505E8A2A" w14:textId="4C8729EB" w:rsidR="00690982" w:rsidRDefault="2AC1CCBD" w:rsidP="2AC1CCBD">
      <w:r w:rsidRPr="2AC1CCBD">
        <w:rPr>
          <w:rFonts w:eastAsia="Arial" w:cs="Arial"/>
          <w:b/>
          <w:bCs/>
          <w:color w:val="17365D"/>
          <w:szCs w:val="24"/>
          <w:u w:val="single"/>
          <w:lang w:val="en"/>
        </w:rPr>
        <w:t xml:space="preserve">Government Obligations </w:t>
      </w:r>
    </w:p>
    <w:p w14:paraId="3FE06685" w14:textId="122680DC" w:rsidR="00690982" w:rsidRDefault="2AC1CCBD" w:rsidP="2AC1CCBD">
      <w:r w:rsidRPr="2AC1CCBD">
        <w:rPr>
          <w:rFonts w:eastAsia="Arial" w:cs="Arial"/>
          <w:color w:val="000000" w:themeColor="text1"/>
          <w:szCs w:val="24"/>
          <w:lang w:val="en"/>
        </w:rPr>
        <w:t>The UNCRPD</w:t>
      </w:r>
      <w:r w:rsidR="00721107" w:rsidRPr="2AC1CCBD">
        <w:rPr>
          <w:rStyle w:val="FootnoteReference"/>
          <w:rFonts w:eastAsia="Arial" w:cs="Arial"/>
          <w:color w:val="000000" w:themeColor="text1"/>
          <w:szCs w:val="24"/>
          <w:lang w:val="en"/>
        </w:rPr>
        <w:footnoteReference w:id="2"/>
      </w:r>
      <w:r w:rsidRPr="2AC1CCBD">
        <w:rPr>
          <w:rFonts w:eastAsia="Arial" w:cs="Arial"/>
          <w:color w:val="000000" w:themeColor="text1"/>
          <w:szCs w:val="24"/>
          <w:lang w:val="en"/>
        </w:rPr>
        <w:t xml:space="preserve"> places an obligation on Government </w:t>
      </w:r>
      <w:r w:rsidRPr="2AC1CCBD">
        <w:rPr>
          <w:rFonts w:eastAsia="Arial" w:cs="Arial"/>
          <w:color w:val="000000" w:themeColor="text1"/>
          <w:szCs w:val="24"/>
        </w:rPr>
        <w:t xml:space="preserve">to ensure and promote the full realization of all human rights and fundamental freedoms for all disabled people without discrimination of any kind </w:t>
      </w:r>
      <w:proofErr w:type="gramStart"/>
      <w:r w:rsidRPr="2AC1CCBD">
        <w:rPr>
          <w:rFonts w:eastAsia="Arial" w:cs="Arial"/>
          <w:color w:val="000000" w:themeColor="text1"/>
          <w:szCs w:val="24"/>
        </w:rPr>
        <w:t>on the basis of</w:t>
      </w:r>
      <w:proofErr w:type="gramEnd"/>
      <w:r w:rsidRPr="2AC1CCBD">
        <w:rPr>
          <w:rFonts w:eastAsia="Arial" w:cs="Arial"/>
          <w:color w:val="000000" w:themeColor="text1"/>
          <w:szCs w:val="24"/>
        </w:rPr>
        <w:t xml:space="preserve"> disability. </w:t>
      </w:r>
    </w:p>
    <w:p w14:paraId="7F478EAE" w14:textId="3B181300" w:rsidR="00690982" w:rsidRDefault="2AC1CCBD" w:rsidP="2AC1CCBD">
      <w:r w:rsidRPr="2AC1CCBD">
        <w:rPr>
          <w:rFonts w:eastAsia="Arial" w:cs="Arial"/>
          <w:b/>
          <w:bCs/>
          <w:color w:val="17365D"/>
          <w:szCs w:val="24"/>
          <w:u w:val="single"/>
          <w:lang w:val="en"/>
        </w:rPr>
        <w:t>UNCRPD is the minimum standard</w:t>
      </w:r>
    </w:p>
    <w:p w14:paraId="2109B99F" w14:textId="781A2902" w:rsidR="00690982" w:rsidRDefault="2AC1CCBD" w:rsidP="2AC1CCBD">
      <w:r w:rsidRPr="2AC1CCBD">
        <w:rPr>
          <w:rFonts w:eastAsia="Arial" w:cs="Arial"/>
          <w:szCs w:val="24"/>
          <w:lang w:val="en"/>
        </w:rPr>
        <w:t>DPA upholds the UNCRPD as the minimum standard for our participation in society.</w:t>
      </w:r>
      <w:r w:rsidRPr="2AC1CCBD">
        <w:rPr>
          <w:rFonts w:eastAsia="Arial" w:cs="Arial"/>
          <w:color w:val="000000" w:themeColor="text1"/>
          <w:sz w:val="33"/>
          <w:szCs w:val="33"/>
          <w:lang w:val="en"/>
        </w:rPr>
        <w:t xml:space="preserve"> </w:t>
      </w:r>
    </w:p>
    <w:p w14:paraId="76649510" w14:textId="580FC842" w:rsidR="00690982" w:rsidRDefault="2AC1CCBD" w:rsidP="2AC1CCBD">
      <w:r w:rsidRPr="2AC1CCBD">
        <w:rPr>
          <w:rFonts w:eastAsia="Arial" w:cs="Arial"/>
          <w:b/>
          <w:bCs/>
          <w:color w:val="17365D"/>
          <w:szCs w:val="24"/>
          <w:u w:val="single"/>
          <w:lang w:val="en"/>
        </w:rPr>
        <w:t xml:space="preserve">Partnership with DPOs (Article 4.3) </w:t>
      </w:r>
    </w:p>
    <w:p w14:paraId="515D12EC" w14:textId="258C2BE9" w:rsidR="00690982" w:rsidRDefault="2AC1CCBD" w:rsidP="2AC1CCBD">
      <w:r w:rsidRPr="2AC1CCBD">
        <w:rPr>
          <w:rFonts w:eastAsia="Arial" w:cs="Arial"/>
          <w:color w:val="000000" w:themeColor="text1"/>
          <w:szCs w:val="24"/>
          <w:lang w:val="en"/>
        </w:rPr>
        <w:t xml:space="preserve">The implementation of the UNCRPD depends on a partnership between DPOs and the Government. This is highlighted in Article 4.3 which says governments shall consult closely with and actively involve disabled people, including disabled children, through their representative </w:t>
      </w:r>
      <w:proofErr w:type="spellStart"/>
      <w:r w:rsidRPr="2AC1CCBD">
        <w:rPr>
          <w:rFonts w:eastAsia="Arial" w:cs="Arial"/>
          <w:color w:val="000000" w:themeColor="text1"/>
          <w:szCs w:val="24"/>
          <w:lang w:val="en"/>
        </w:rPr>
        <w:t>organisations</w:t>
      </w:r>
      <w:proofErr w:type="spellEnd"/>
      <w:r w:rsidRPr="2AC1CCBD">
        <w:rPr>
          <w:rFonts w:eastAsia="Arial" w:cs="Arial"/>
          <w:color w:val="000000" w:themeColor="text1"/>
          <w:szCs w:val="24"/>
          <w:lang w:val="en"/>
        </w:rPr>
        <w:t xml:space="preserve">. This partnership goes beyond just consulting with disabled people. It mandates Governments to actively involve disabled people and our </w:t>
      </w:r>
      <w:proofErr w:type="spellStart"/>
      <w:r w:rsidRPr="2AC1CCBD">
        <w:rPr>
          <w:rFonts w:eastAsia="Arial" w:cs="Arial"/>
          <w:color w:val="000000" w:themeColor="text1"/>
          <w:szCs w:val="24"/>
          <w:lang w:val="en"/>
        </w:rPr>
        <w:t>organisations</w:t>
      </w:r>
      <w:proofErr w:type="spellEnd"/>
      <w:r w:rsidRPr="2AC1CCBD">
        <w:rPr>
          <w:rFonts w:eastAsia="Arial" w:cs="Arial"/>
          <w:color w:val="000000" w:themeColor="text1"/>
          <w:szCs w:val="24"/>
          <w:lang w:val="en"/>
        </w:rPr>
        <w:t xml:space="preserve"> in everything that affects us. </w:t>
      </w:r>
    </w:p>
    <w:p w14:paraId="728F4F85" w14:textId="74FAB0D8" w:rsidR="00690982" w:rsidRDefault="2AC1CCBD" w:rsidP="008E541D">
      <w:r>
        <w:t>Other key Articles of the UNCRPD relevant to this submission are:</w:t>
      </w:r>
    </w:p>
    <w:p w14:paraId="7A1F4164" w14:textId="18ABEFD7" w:rsidR="00D65FAC" w:rsidRDefault="00721107" w:rsidP="00235A30">
      <w:pPr>
        <w:pStyle w:val="ListParagraph"/>
        <w:numPr>
          <w:ilvl w:val="0"/>
          <w:numId w:val="15"/>
        </w:numPr>
        <w:spacing w:after="360" w:line="276" w:lineRule="auto"/>
        <w:ind w:left="714" w:hanging="357"/>
      </w:pPr>
      <w:r>
        <w:rPr>
          <w:b/>
          <w:bCs/>
        </w:rPr>
        <w:t xml:space="preserve">Article 8 </w:t>
      </w:r>
      <w:r w:rsidR="00BB28F2">
        <w:rPr>
          <w:b/>
          <w:bCs/>
        </w:rPr>
        <w:t>(</w:t>
      </w:r>
      <w:r>
        <w:rPr>
          <w:b/>
          <w:bCs/>
        </w:rPr>
        <w:t>c)</w:t>
      </w:r>
      <w:r>
        <w:rPr>
          <w:b/>
          <w:bCs/>
        </w:rPr>
        <w:tab/>
        <w:t xml:space="preserve">- </w:t>
      </w:r>
      <w:r w:rsidRPr="00721107">
        <w:t xml:space="preserve">Encouraging all organs of the media to portray persons with </w:t>
      </w:r>
      <w:r w:rsidR="00D65FAC">
        <w:t xml:space="preserve">   </w:t>
      </w:r>
    </w:p>
    <w:p w14:paraId="2E1161C4" w14:textId="77777777" w:rsidR="00D65FAC" w:rsidRDefault="00D65FAC" w:rsidP="00D65FAC">
      <w:pPr>
        <w:pStyle w:val="ListParagraph"/>
        <w:spacing w:after="360" w:line="276" w:lineRule="auto"/>
        <w:ind w:left="714"/>
      </w:pPr>
      <w:r>
        <w:rPr>
          <w:b/>
          <w:bCs/>
        </w:rPr>
        <w:t xml:space="preserve">                        </w:t>
      </w:r>
      <w:r w:rsidR="00721107" w:rsidRPr="00721107">
        <w:t xml:space="preserve">disabilities in a manner consistent with the purpose of the </w:t>
      </w:r>
      <w:r>
        <w:t xml:space="preserve"> </w:t>
      </w:r>
    </w:p>
    <w:p w14:paraId="4F0F29ED" w14:textId="65448771" w:rsidR="00235A30" w:rsidRDefault="00D65FAC" w:rsidP="00D65FAC">
      <w:pPr>
        <w:pStyle w:val="ListParagraph"/>
        <w:spacing w:after="360" w:line="276" w:lineRule="auto"/>
        <w:ind w:left="714"/>
      </w:pPr>
      <w:r>
        <w:t xml:space="preserve">                        </w:t>
      </w:r>
      <w:r w:rsidR="00721107" w:rsidRPr="00721107">
        <w:t>present Convention</w:t>
      </w:r>
    </w:p>
    <w:p w14:paraId="61D4D550" w14:textId="77777777" w:rsidR="00D65FAC" w:rsidRPr="00721107" w:rsidRDefault="00D65FAC" w:rsidP="00D65FAC">
      <w:pPr>
        <w:pStyle w:val="ListParagraph"/>
        <w:numPr>
          <w:ilvl w:val="0"/>
          <w:numId w:val="15"/>
        </w:numPr>
      </w:pPr>
      <w:r>
        <w:rPr>
          <w:b/>
          <w:bCs/>
        </w:rPr>
        <w:t>Article 9</w:t>
      </w:r>
      <w:r>
        <w:rPr>
          <w:b/>
          <w:bCs/>
        </w:rPr>
        <w:tab/>
        <w:t xml:space="preserve">- </w:t>
      </w:r>
      <w:r w:rsidRPr="00721107">
        <w:t>Accessibility</w:t>
      </w:r>
    </w:p>
    <w:p w14:paraId="3D084850" w14:textId="77777777" w:rsidR="00D65FAC" w:rsidRPr="00721107" w:rsidRDefault="00D65FAC" w:rsidP="00D65FAC">
      <w:pPr>
        <w:pStyle w:val="ListParagraph"/>
        <w:numPr>
          <w:ilvl w:val="0"/>
          <w:numId w:val="15"/>
        </w:numPr>
      </w:pPr>
      <w:r>
        <w:rPr>
          <w:b/>
          <w:bCs/>
        </w:rPr>
        <w:t>Article 21</w:t>
      </w:r>
      <w:r>
        <w:rPr>
          <w:b/>
          <w:bCs/>
        </w:rPr>
        <w:tab/>
        <w:t xml:space="preserve">- </w:t>
      </w:r>
      <w:r w:rsidRPr="00721107">
        <w:t>Freedom of expression and opinion, and access to</w:t>
      </w:r>
      <w:r>
        <w:rPr>
          <w:b/>
          <w:bCs/>
        </w:rPr>
        <w:t xml:space="preserve"> </w:t>
      </w:r>
      <w:r w:rsidRPr="00320473">
        <w:t>information</w:t>
      </w:r>
    </w:p>
    <w:p w14:paraId="00DCF524" w14:textId="3FC33129" w:rsidR="0C587732" w:rsidRDefault="0C587732" w:rsidP="0C587732">
      <w:pPr>
        <w:pStyle w:val="ListParagraph"/>
        <w:numPr>
          <w:ilvl w:val="0"/>
          <w:numId w:val="15"/>
        </w:numPr>
      </w:pPr>
      <w:r w:rsidRPr="0C587732">
        <w:rPr>
          <w:b/>
          <w:bCs/>
        </w:rPr>
        <w:t>Article 30</w:t>
      </w:r>
      <w:r>
        <w:tab/>
      </w:r>
      <w:r w:rsidRPr="0C587732">
        <w:rPr>
          <w:b/>
          <w:bCs/>
        </w:rPr>
        <w:t xml:space="preserve">- </w:t>
      </w:r>
      <w:r>
        <w:t xml:space="preserve">Participation in cultural life, recreation, </w:t>
      </w:r>
      <w:proofErr w:type="gramStart"/>
      <w:r>
        <w:t>leisure</w:t>
      </w:r>
      <w:proofErr w:type="gramEnd"/>
      <w:r>
        <w:t xml:space="preserve"> and sport</w:t>
      </w:r>
    </w:p>
    <w:p w14:paraId="6B64D4AB" w14:textId="7FF0E7BC" w:rsidR="003E3C38" w:rsidRDefault="2AC1CCBD" w:rsidP="004D53A5">
      <w:pPr>
        <w:pStyle w:val="Heading1"/>
      </w:pPr>
      <w:r>
        <w:t xml:space="preserve">The submission </w:t>
      </w:r>
    </w:p>
    <w:p w14:paraId="395F0B83" w14:textId="4A2BB7D0" w:rsidR="003E3C38" w:rsidRPr="00540703" w:rsidRDefault="2AC1CCBD" w:rsidP="2AC1CCBD">
      <w:r w:rsidRPr="00540703">
        <w:t>This inquiry into the Radio New Zealand (RNZ) Charter is timely given the rapid changes in technology and the growing range of media used by RNZ.</w:t>
      </w:r>
    </w:p>
    <w:p w14:paraId="32E9857B" w14:textId="27A52AA9" w:rsidR="003E3C38" w:rsidRPr="00540703" w:rsidRDefault="0C587732" w:rsidP="2AC1CCBD">
      <w:pPr>
        <w:rPr>
          <w:highlight w:val="yellow"/>
        </w:rPr>
      </w:pPr>
      <w:r w:rsidRPr="00540703">
        <w:t xml:space="preserve">Many disabled people face significant barriers in accessing reliable information, news, current </w:t>
      </w:r>
      <w:proofErr w:type="gramStart"/>
      <w:r w:rsidRPr="00540703">
        <w:t>affairs</w:t>
      </w:r>
      <w:proofErr w:type="gramEnd"/>
      <w:r w:rsidRPr="00540703">
        <w:t xml:space="preserve"> and debates. </w:t>
      </w:r>
      <w:r w:rsidRPr="00540703">
        <w:rPr>
          <w:highlight w:val="yellow"/>
        </w:rPr>
        <w:t xml:space="preserve">DPA believes that as a publicly funded body, RNZ has a responsibility to ensure full access for disabled people to their material.  </w:t>
      </w:r>
    </w:p>
    <w:p w14:paraId="60DEACC8" w14:textId="27B3D62E" w:rsidR="003E3C38" w:rsidRPr="00DD0150" w:rsidRDefault="2AC1CCBD" w:rsidP="2AC1CCBD">
      <w:r w:rsidRPr="00DD0150">
        <w:t>For many blind people, radio is their major source of news and plays a vital role for them.  For others</w:t>
      </w:r>
      <w:proofErr w:type="gramStart"/>
      <w:r w:rsidRPr="00DD0150">
        <w:t>, in particular, Deaf</w:t>
      </w:r>
      <w:proofErr w:type="gramEnd"/>
      <w:r w:rsidRPr="00DD0150">
        <w:t xml:space="preserve"> and hard of hearing people, radio isn’t directly accessible.  We note that many of RNZ’s news stories, interviews and articles are uploaded to its website where they should be made accessible to Deaf and hard of hearing people by way of </w:t>
      </w:r>
      <w:r w:rsidR="008F372B">
        <w:t xml:space="preserve">written </w:t>
      </w:r>
      <w:r w:rsidRPr="00DD0150">
        <w:t xml:space="preserve">transcripts. </w:t>
      </w:r>
    </w:p>
    <w:p w14:paraId="685FDA3E" w14:textId="1BC7B666" w:rsidR="003E3C38" w:rsidRPr="008178DE" w:rsidRDefault="0C587732" w:rsidP="2AC1CCBD">
      <w:r w:rsidRPr="008178DE">
        <w:t>Some items have a written summary uploaded to the website, but RNZ does not as a rule provide full transcripts of their broadcast material, thus denying Deaf and hard of hearing people access to important information and topical discussions.</w:t>
      </w:r>
      <w:r w:rsidR="00F532DC">
        <w:t xml:space="preserve"> </w:t>
      </w:r>
    </w:p>
    <w:p w14:paraId="57AD253F" w14:textId="3B79555E" w:rsidR="000816C5" w:rsidRPr="008178DE" w:rsidRDefault="0C587732" w:rsidP="000816C5">
      <w:proofErr w:type="gramStart"/>
      <w:r w:rsidRPr="008178DE">
        <w:t>In particular deaf</w:t>
      </w:r>
      <w:proofErr w:type="gramEnd"/>
      <w:r w:rsidRPr="008178DE">
        <w:t xml:space="preserve"> and hard of hearing people have the right to be able to access transcripts of RNZ interviews with experts across a range of subject areas including health, climate change, and other core topics of public interest.  </w:t>
      </w:r>
      <w:r w:rsidR="000816C5">
        <w:t xml:space="preserve">Frequently Radio New Zealand covers issues that are of specific interest to the disabled community Such as inclusive education, the health and disability system review and the lack of transcripts </w:t>
      </w:r>
      <w:proofErr w:type="gramStart"/>
      <w:r w:rsidR="000816C5">
        <w:t>denies  Deaf</w:t>
      </w:r>
      <w:proofErr w:type="gramEnd"/>
      <w:r w:rsidR="000816C5">
        <w:t xml:space="preserve"> people access to stories and interviews that are of specific interest to them.</w:t>
      </w:r>
      <w:r w:rsidR="007A7127">
        <w:t xml:space="preserve"> </w:t>
      </w:r>
      <w:r w:rsidR="000816C5">
        <w:t xml:space="preserve">When </w:t>
      </w:r>
      <w:r w:rsidR="007A7127">
        <w:t>DPA shares</w:t>
      </w:r>
      <w:r w:rsidR="00B67C0A">
        <w:t xml:space="preserve"> </w:t>
      </w:r>
      <w:r w:rsidR="007A7127">
        <w:t>these stories</w:t>
      </w:r>
      <w:r w:rsidR="00B67C0A">
        <w:t xml:space="preserve"> via our social media</w:t>
      </w:r>
      <w:r w:rsidR="006213D0">
        <w:t xml:space="preserve"> </w:t>
      </w:r>
      <w:r w:rsidR="00C8687D">
        <w:t>channels</w:t>
      </w:r>
      <w:r w:rsidR="006213D0">
        <w:t xml:space="preserve"> we frequently have people comment</w:t>
      </w:r>
      <w:r w:rsidR="006B651D">
        <w:t xml:space="preserve">, “Is there a transcript”? </w:t>
      </w:r>
      <w:r w:rsidR="00C8687D">
        <w:t xml:space="preserve"> </w:t>
      </w:r>
      <w:r w:rsidR="007A7127">
        <w:t xml:space="preserve">  </w:t>
      </w:r>
      <w:r w:rsidR="000816C5">
        <w:t xml:space="preserve">    </w:t>
      </w:r>
      <w:r w:rsidR="000816C5" w:rsidRPr="008178DE">
        <w:t xml:space="preserve"> </w:t>
      </w:r>
    </w:p>
    <w:p w14:paraId="3D5B5AAC" w14:textId="632F134C" w:rsidR="003E3C38" w:rsidRPr="008178DE" w:rsidRDefault="2AC1CCBD" w:rsidP="00124A8B">
      <w:pPr>
        <w:pStyle w:val="Heading1"/>
        <w:ind w:left="0"/>
      </w:pPr>
      <w:r w:rsidRPr="008178DE">
        <w:t>DPA’s recommendations</w:t>
      </w:r>
    </w:p>
    <w:p w14:paraId="3333E55F" w14:textId="1AEB5EEA" w:rsidR="004D53A5" w:rsidRPr="00917090" w:rsidRDefault="2AC1CCBD" w:rsidP="003E3C38">
      <w:pPr>
        <w:rPr>
          <w:rFonts w:cs="Arial"/>
        </w:rPr>
      </w:pPr>
      <w:r w:rsidRPr="00917090">
        <w:rPr>
          <w:rFonts w:cs="Arial"/>
          <w:b/>
          <w:bCs/>
        </w:rPr>
        <w:t xml:space="preserve">Recommendation 1:  </w:t>
      </w:r>
      <w:r w:rsidRPr="00917090">
        <w:rPr>
          <w:rFonts w:cs="Arial"/>
        </w:rPr>
        <w:t>DPA recommends the Radio New Zealand Charter (Section 8 of the RNZ Act 1995) Purpose be amended by adding an additional clause; “</w:t>
      </w:r>
      <w:r w:rsidRPr="00917090">
        <w:rPr>
          <w:rFonts w:cs="Arial"/>
          <w:i/>
          <w:iCs/>
        </w:rPr>
        <w:t>To ensure access to its content by disabled people through the use of such measures as: the provision of written transcripts, captioning of videos, NZSL and audio description”</w:t>
      </w:r>
      <w:r w:rsidRPr="00917090">
        <w:rPr>
          <w:rFonts w:cs="Arial"/>
        </w:rPr>
        <w:t>.</w:t>
      </w:r>
    </w:p>
    <w:p w14:paraId="52A4FF17" w14:textId="59EB92C9" w:rsidR="008A0291" w:rsidRPr="00917090" w:rsidRDefault="0C587732" w:rsidP="0C587732">
      <w:pPr>
        <w:rPr>
          <w:rFonts w:cs="Arial"/>
          <w:i/>
          <w:iCs/>
        </w:rPr>
      </w:pPr>
      <w:r w:rsidRPr="00917090">
        <w:rPr>
          <w:rFonts w:cs="Arial"/>
          <w:b/>
          <w:bCs/>
        </w:rPr>
        <w:t xml:space="preserve">Recommendation 2:  </w:t>
      </w:r>
      <w:r w:rsidRPr="00917090">
        <w:rPr>
          <w:rFonts w:cs="Arial"/>
        </w:rPr>
        <w:t>Given the importance of UNCRPD Article 8 (c)</w:t>
      </w:r>
      <w:r w:rsidRPr="00917090">
        <w:rPr>
          <w:rFonts w:cs="Arial"/>
          <w:b/>
          <w:bCs/>
        </w:rPr>
        <w:t xml:space="preserve">, </w:t>
      </w:r>
      <w:r w:rsidRPr="00917090">
        <w:rPr>
          <w:rFonts w:cs="Arial"/>
        </w:rPr>
        <w:t xml:space="preserve">DPA recommends the Radio New Zealand Charter (Section 8 of the RNZ Act 1995) Purpose be amended by adding an additional clause; </w:t>
      </w:r>
      <w:r w:rsidRPr="00917090">
        <w:rPr>
          <w:rFonts w:cs="Arial"/>
          <w:i/>
          <w:iCs/>
        </w:rPr>
        <w:t xml:space="preserve">“to ensure that all reporting is respectful of disabled people, upholds their mana and ensures their voice is fairly represented”. </w:t>
      </w:r>
    </w:p>
    <w:p w14:paraId="418694EA" w14:textId="60BDC892" w:rsidR="008C2DEB" w:rsidRPr="004632D5" w:rsidRDefault="00F5677D" w:rsidP="003E3C38">
      <w:pPr>
        <w:rPr>
          <w:rFonts w:cs="Arial"/>
          <w:i/>
          <w:iCs/>
        </w:rPr>
      </w:pPr>
      <w:r w:rsidRPr="004632D5">
        <w:rPr>
          <w:rFonts w:cs="Arial"/>
          <w:b/>
          <w:bCs/>
        </w:rPr>
        <w:t xml:space="preserve">Recommendation 3:  </w:t>
      </w:r>
      <w:r w:rsidR="008C2DEB" w:rsidRPr="004632D5">
        <w:rPr>
          <w:rFonts w:cs="Arial"/>
        </w:rPr>
        <w:t>DPA recommends that Section 8A, Principles of Operation, be amended by adding an additional clause; “</w:t>
      </w:r>
      <w:r w:rsidR="008C2DEB" w:rsidRPr="004632D5">
        <w:rPr>
          <w:rFonts w:cs="Arial"/>
          <w:i/>
          <w:iCs/>
        </w:rPr>
        <w:t>…having regard to the needs of disabled people”.</w:t>
      </w:r>
    </w:p>
    <w:p w14:paraId="0364E027" w14:textId="48FD83BE" w:rsidR="00D04041" w:rsidRPr="00DB7A50" w:rsidRDefault="00D04041" w:rsidP="003E3C38">
      <w:pPr>
        <w:rPr>
          <w:rFonts w:cs="Arial"/>
        </w:rPr>
      </w:pPr>
      <w:r w:rsidRPr="00DB7A50">
        <w:rPr>
          <w:rFonts w:cs="Arial"/>
          <w:b/>
          <w:bCs/>
        </w:rPr>
        <w:t xml:space="preserve">Recommendation </w:t>
      </w:r>
      <w:r w:rsidR="00057999" w:rsidRPr="00DB7A50">
        <w:rPr>
          <w:rFonts w:cs="Arial"/>
          <w:b/>
          <w:bCs/>
        </w:rPr>
        <w:t>4</w:t>
      </w:r>
      <w:r w:rsidRPr="00DB7A50">
        <w:rPr>
          <w:rFonts w:cs="Arial"/>
          <w:b/>
          <w:bCs/>
        </w:rPr>
        <w:t xml:space="preserve">:  </w:t>
      </w:r>
      <w:r w:rsidRPr="00DB7A50">
        <w:rPr>
          <w:rFonts w:cs="Arial"/>
        </w:rPr>
        <w:t>DPA recommends that Section 8D, Reporting, makes specific reference to disabled people in Section 8D(2)(a).</w:t>
      </w:r>
    </w:p>
    <w:p w14:paraId="4B93C600" w14:textId="210CA0C0" w:rsidR="00F90077" w:rsidRPr="00DB7A50" w:rsidRDefault="00476C8F" w:rsidP="003E3C38">
      <w:pPr>
        <w:rPr>
          <w:rFonts w:cs="Arial"/>
        </w:rPr>
      </w:pPr>
      <w:r w:rsidRPr="00DB7A50">
        <w:rPr>
          <w:rFonts w:cs="Arial"/>
          <w:b/>
          <w:bCs/>
        </w:rPr>
        <w:t xml:space="preserve"> </w:t>
      </w:r>
    </w:p>
    <w:sectPr w:rsidR="00F90077" w:rsidRPr="00DB7A50" w:rsidSect="00634AEC">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CCFE0" w14:textId="77777777" w:rsidR="009745D1" w:rsidRDefault="009745D1" w:rsidP="00634AEC">
      <w:pPr>
        <w:spacing w:after="0" w:line="240" w:lineRule="auto"/>
      </w:pPr>
      <w:r>
        <w:separator/>
      </w:r>
    </w:p>
  </w:endnote>
  <w:endnote w:type="continuationSeparator" w:id="0">
    <w:p w14:paraId="1A5B3565" w14:textId="77777777" w:rsidR="009745D1" w:rsidRDefault="009745D1" w:rsidP="00634AEC">
      <w:pPr>
        <w:spacing w:after="0" w:line="240" w:lineRule="auto"/>
      </w:pPr>
      <w:r>
        <w:continuationSeparator/>
      </w:r>
    </w:p>
  </w:endnote>
  <w:endnote w:type="continuationNotice" w:id="1">
    <w:p w14:paraId="6D58A21F" w14:textId="77777777" w:rsidR="00E87FD2" w:rsidRDefault="00E87F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pPr>
      <w:pStyle w:val="Footer"/>
    </w:pPr>
    <w:r>
      <w:rPr>
        <w:noProof/>
        <w:lang w:eastAsia="en-NZ"/>
      </w:rPr>
      <w:drawing>
        <wp:inline distT="0" distB="0" distL="0" distR="0" wp14:anchorId="0F2BB3AF" wp14:editId="4B5AA4B5">
          <wp:extent cx="6585585" cy="910361"/>
          <wp:effectExtent l="0" t="0" r="5715" b="4445"/>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777249" cy="936856"/>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07FB" w14:textId="77777777" w:rsidR="009745D1" w:rsidRDefault="009745D1" w:rsidP="00634AEC">
      <w:pPr>
        <w:spacing w:after="0" w:line="240" w:lineRule="auto"/>
      </w:pPr>
      <w:r>
        <w:separator/>
      </w:r>
    </w:p>
  </w:footnote>
  <w:footnote w:type="continuationSeparator" w:id="0">
    <w:p w14:paraId="2F096C83" w14:textId="77777777" w:rsidR="009745D1" w:rsidRDefault="009745D1" w:rsidP="00634AEC">
      <w:pPr>
        <w:spacing w:after="0" w:line="240" w:lineRule="auto"/>
      </w:pPr>
      <w:r>
        <w:continuationSeparator/>
      </w:r>
    </w:p>
  </w:footnote>
  <w:footnote w:type="continuationNotice" w:id="1">
    <w:p w14:paraId="0294B97B" w14:textId="77777777" w:rsidR="00E87FD2" w:rsidRDefault="00E87FD2">
      <w:pPr>
        <w:spacing w:after="0" w:line="240" w:lineRule="auto"/>
      </w:pPr>
    </w:p>
  </w:footnote>
  <w:footnote w:id="2">
    <w:p w14:paraId="72D59B06" w14:textId="5C20D421" w:rsidR="2AC1CCBD" w:rsidRDefault="2AC1CCBD" w:rsidP="2AC1CCBD">
      <w:r w:rsidRPr="2AC1CCBD">
        <w:rPr>
          <w:rStyle w:val="FootnoteReference"/>
          <w:rFonts w:eastAsia="SimSun"/>
          <w:sz w:val="20"/>
          <w:szCs w:val="20"/>
        </w:rPr>
        <w:footnoteRef/>
      </w:r>
      <w:r w:rsidRPr="2AC1CCBD">
        <w:rPr>
          <w:rFonts w:eastAsia="SimSun"/>
          <w:sz w:val="20"/>
          <w:szCs w:val="20"/>
        </w:rPr>
        <w:t xml:space="preserve"> </w:t>
      </w:r>
      <w:hyperlink r:id="rId1" w:anchor="_ftnref1">
        <w:r w:rsidRPr="2AC1CCBD">
          <w:rPr>
            <w:rStyle w:val="Hyperlink"/>
            <w:rFonts w:eastAsia="Arial" w:cs="Arial"/>
            <w:sz w:val="20"/>
            <w:szCs w:val="20"/>
            <w:vertAlign w:val="superscript"/>
          </w:rPr>
          <w:t>[1]</w:t>
        </w:r>
      </w:hyperlink>
      <w:r w:rsidRPr="2AC1CCBD">
        <w:rPr>
          <w:rFonts w:ascii="Times New Roman" w:eastAsia="Times New Roman" w:hAnsi="Times New Roman" w:cs="Times New Roman"/>
          <w:szCs w:val="24"/>
        </w:rPr>
        <w:t xml:space="preserve"> </w:t>
      </w:r>
      <w:hyperlink r:id="rId2">
        <w:r w:rsidRPr="2AC1CCBD">
          <w:rPr>
            <w:rStyle w:val="Hyperlink"/>
            <w:rFonts w:ascii="Times New Roman" w:eastAsia="Times New Roman" w:hAnsi="Times New Roman" w:cs="Times New Roman"/>
            <w:szCs w:val="24"/>
          </w:rPr>
          <w:t>Convention on the Rights of Persons with Disabilities (CRPD) | United Nations Enable</w:t>
        </w:r>
      </w:hyperlink>
    </w:p>
    <w:p w14:paraId="4466F18B" w14:textId="74F3CB60" w:rsidR="2AC1CCBD" w:rsidRDefault="2AC1CCBD" w:rsidP="2AC1CCBD">
      <w:pPr>
        <w:pStyle w:val="FootnoteText"/>
        <w:rPr>
          <w:rFonts w:eastAsia="SimSun"/>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7pt;height:26.5pt" o:bullet="t">
        <v:imagedata r:id="rId1" o:title="art1C51"/>
      </v:shape>
    </w:pict>
  </w:numPicBullet>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3B4A3674"/>
    <w:multiLevelType w:val="hybridMultilevel"/>
    <w:tmpl w:val="164CA7E8"/>
    <w:lvl w:ilvl="0" w:tplc="332CA6B0">
      <w:start w:val="1"/>
      <w:numFmt w:val="bullet"/>
      <w:lvlText w:val=""/>
      <w:lvlJc w:val="left"/>
      <w:pPr>
        <w:tabs>
          <w:tab w:val="num" w:pos="720"/>
        </w:tabs>
        <w:ind w:left="720" w:hanging="360"/>
      </w:pPr>
      <w:rPr>
        <w:rFonts w:ascii="Wingdings" w:hAnsi="Wingdings" w:hint="default"/>
        <w:sz w:val="32"/>
      </w:rPr>
    </w:lvl>
    <w:lvl w:ilvl="1" w:tplc="82AEDEAC" w:tentative="1">
      <w:start w:val="1"/>
      <w:numFmt w:val="bullet"/>
      <w:lvlText w:val=""/>
      <w:lvlPicBulletId w:val="0"/>
      <w:lvlJc w:val="left"/>
      <w:pPr>
        <w:tabs>
          <w:tab w:val="num" w:pos="1440"/>
        </w:tabs>
        <w:ind w:left="1440" w:hanging="360"/>
      </w:pPr>
      <w:rPr>
        <w:rFonts w:ascii="Symbol" w:hAnsi="Symbol" w:hint="default"/>
      </w:rPr>
    </w:lvl>
    <w:lvl w:ilvl="2" w:tplc="12327CA0" w:tentative="1">
      <w:start w:val="1"/>
      <w:numFmt w:val="bullet"/>
      <w:lvlText w:val=""/>
      <w:lvlPicBulletId w:val="0"/>
      <w:lvlJc w:val="left"/>
      <w:pPr>
        <w:tabs>
          <w:tab w:val="num" w:pos="2160"/>
        </w:tabs>
        <w:ind w:left="2160" w:hanging="360"/>
      </w:pPr>
      <w:rPr>
        <w:rFonts w:ascii="Symbol" w:hAnsi="Symbol" w:hint="default"/>
      </w:rPr>
    </w:lvl>
    <w:lvl w:ilvl="3" w:tplc="7706C256" w:tentative="1">
      <w:start w:val="1"/>
      <w:numFmt w:val="bullet"/>
      <w:lvlText w:val=""/>
      <w:lvlPicBulletId w:val="0"/>
      <w:lvlJc w:val="left"/>
      <w:pPr>
        <w:tabs>
          <w:tab w:val="num" w:pos="2880"/>
        </w:tabs>
        <w:ind w:left="2880" w:hanging="360"/>
      </w:pPr>
      <w:rPr>
        <w:rFonts w:ascii="Symbol" w:hAnsi="Symbol" w:hint="default"/>
      </w:rPr>
    </w:lvl>
    <w:lvl w:ilvl="4" w:tplc="DF321E44" w:tentative="1">
      <w:start w:val="1"/>
      <w:numFmt w:val="bullet"/>
      <w:lvlText w:val=""/>
      <w:lvlPicBulletId w:val="0"/>
      <w:lvlJc w:val="left"/>
      <w:pPr>
        <w:tabs>
          <w:tab w:val="num" w:pos="3600"/>
        </w:tabs>
        <w:ind w:left="3600" w:hanging="360"/>
      </w:pPr>
      <w:rPr>
        <w:rFonts w:ascii="Symbol" w:hAnsi="Symbol" w:hint="default"/>
      </w:rPr>
    </w:lvl>
    <w:lvl w:ilvl="5" w:tplc="9828B15A" w:tentative="1">
      <w:start w:val="1"/>
      <w:numFmt w:val="bullet"/>
      <w:lvlText w:val=""/>
      <w:lvlPicBulletId w:val="0"/>
      <w:lvlJc w:val="left"/>
      <w:pPr>
        <w:tabs>
          <w:tab w:val="num" w:pos="4320"/>
        </w:tabs>
        <w:ind w:left="4320" w:hanging="360"/>
      </w:pPr>
      <w:rPr>
        <w:rFonts w:ascii="Symbol" w:hAnsi="Symbol" w:hint="default"/>
      </w:rPr>
    </w:lvl>
    <w:lvl w:ilvl="6" w:tplc="4066067C" w:tentative="1">
      <w:start w:val="1"/>
      <w:numFmt w:val="bullet"/>
      <w:lvlText w:val=""/>
      <w:lvlPicBulletId w:val="0"/>
      <w:lvlJc w:val="left"/>
      <w:pPr>
        <w:tabs>
          <w:tab w:val="num" w:pos="5040"/>
        </w:tabs>
        <w:ind w:left="5040" w:hanging="360"/>
      </w:pPr>
      <w:rPr>
        <w:rFonts w:ascii="Symbol" w:hAnsi="Symbol" w:hint="default"/>
      </w:rPr>
    </w:lvl>
    <w:lvl w:ilvl="7" w:tplc="1FBCE16E" w:tentative="1">
      <w:start w:val="1"/>
      <w:numFmt w:val="bullet"/>
      <w:lvlText w:val=""/>
      <w:lvlPicBulletId w:val="0"/>
      <w:lvlJc w:val="left"/>
      <w:pPr>
        <w:tabs>
          <w:tab w:val="num" w:pos="5760"/>
        </w:tabs>
        <w:ind w:left="5760" w:hanging="360"/>
      </w:pPr>
      <w:rPr>
        <w:rFonts w:ascii="Symbol" w:hAnsi="Symbol" w:hint="default"/>
      </w:rPr>
    </w:lvl>
    <w:lvl w:ilvl="8" w:tplc="C142A4D4" w:tentative="1">
      <w:start w:val="1"/>
      <w:numFmt w:val="bullet"/>
      <w:lvlText w:val=""/>
      <w:lvlPicBulletId w:val="0"/>
      <w:lvlJc w:val="left"/>
      <w:pPr>
        <w:tabs>
          <w:tab w:val="num" w:pos="6480"/>
        </w:tabs>
        <w:ind w:left="6480" w:hanging="360"/>
      </w:pPr>
      <w:rPr>
        <w:rFonts w:ascii="Symbol" w:hAnsi="Symbol" w:hint="default"/>
      </w:rPr>
    </w:lvl>
  </w:abstractNum>
  <w:abstractNum w:abstractNumId="5"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A77AFB"/>
    <w:multiLevelType w:val="hybridMultilevel"/>
    <w:tmpl w:val="76AE5A18"/>
    <w:lvl w:ilvl="0" w:tplc="DF74FC3C">
      <w:start w:val="1"/>
      <w:numFmt w:val="bullet"/>
      <w:lvlText w:val=""/>
      <w:lvlPicBulletId w:val="0"/>
      <w:lvlJc w:val="left"/>
      <w:pPr>
        <w:tabs>
          <w:tab w:val="num" w:pos="720"/>
        </w:tabs>
        <w:ind w:left="720" w:hanging="360"/>
      </w:pPr>
      <w:rPr>
        <w:rFonts w:ascii="Symbol" w:hAnsi="Symbol" w:hint="default"/>
      </w:rPr>
    </w:lvl>
    <w:lvl w:ilvl="1" w:tplc="4BE03EAA" w:tentative="1">
      <w:start w:val="1"/>
      <w:numFmt w:val="bullet"/>
      <w:lvlText w:val=""/>
      <w:lvlPicBulletId w:val="0"/>
      <w:lvlJc w:val="left"/>
      <w:pPr>
        <w:tabs>
          <w:tab w:val="num" w:pos="1440"/>
        </w:tabs>
        <w:ind w:left="1440" w:hanging="360"/>
      </w:pPr>
      <w:rPr>
        <w:rFonts w:ascii="Symbol" w:hAnsi="Symbol" w:hint="default"/>
      </w:rPr>
    </w:lvl>
    <w:lvl w:ilvl="2" w:tplc="6AE07494" w:tentative="1">
      <w:start w:val="1"/>
      <w:numFmt w:val="bullet"/>
      <w:lvlText w:val=""/>
      <w:lvlPicBulletId w:val="0"/>
      <w:lvlJc w:val="left"/>
      <w:pPr>
        <w:tabs>
          <w:tab w:val="num" w:pos="2160"/>
        </w:tabs>
        <w:ind w:left="2160" w:hanging="360"/>
      </w:pPr>
      <w:rPr>
        <w:rFonts w:ascii="Symbol" w:hAnsi="Symbol" w:hint="default"/>
      </w:rPr>
    </w:lvl>
    <w:lvl w:ilvl="3" w:tplc="E12867A0" w:tentative="1">
      <w:start w:val="1"/>
      <w:numFmt w:val="bullet"/>
      <w:lvlText w:val=""/>
      <w:lvlPicBulletId w:val="0"/>
      <w:lvlJc w:val="left"/>
      <w:pPr>
        <w:tabs>
          <w:tab w:val="num" w:pos="2880"/>
        </w:tabs>
        <w:ind w:left="2880" w:hanging="360"/>
      </w:pPr>
      <w:rPr>
        <w:rFonts w:ascii="Symbol" w:hAnsi="Symbol" w:hint="default"/>
      </w:rPr>
    </w:lvl>
    <w:lvl w:ilvl="4" w:tplc="BC72F064" w:tentative="1">
      <w:start w:val="1"/>
      <w:numFmt w:val="bullet"/>
      <w:lvlText w:val=""/>
      <w:lvlPicBulletId w:val="0"/>
      <w:lvlJc w:val="left"/>
      <w:pPr>
        <w:tabs>
          <w:tab w:val="num" w:pos="3600"/>
        </w:tabs>
        <w:ind w:left="3600" w:hanging="360"/>
      </w:pPr>
      <w:rPr>
        <w:rFonts w:ascii="Symbol" w:hAnsi="Symbol" w:hint="default"/>
      </w:rPr>
    </w:lvl>
    <w:lvl w:ilvl="5" w:tplc="BD108076" w:tentative="1">
      <w:start w:val="1"/>
      <w:numFmt w:val="bullet"/>
      <w:lvlText w:val=""/>
      <w:lvlPicBulletId w:val="0"/>
      <w:lvlJc w:val="left"/>
      <w:pPr>
        <w:tabs>
          <w:tab w:val="num" w:pos="4320"/>
        </w:tabs>
        <w:ind w:left="4320" w:hanging="360"/>
      </w:pPr>
      <w:rPr>
        <w:rFonts w:ascii="Symbol" w:hAnsi="Symbol" w:hint="default"/>
      </w:rPr>
    </w:lvl>
    <w:lvl w:ilvl="6" w:tplc="C50046EC" w:tentative="1">
      <w:start w:val="1"/>
      <w:numFmt w:val="bullet"/>
      <w:lvlText w:val=""/>
      <w:lvlPicBulletId w:val="0"/>
      <w:lvlJc w:val="left"/>
      <w:pPr>
        <w:tabs>
          <w:tab w:val="num" w:pos="5040"/>
        </w:tabs>
        <w:ind w:left="5040" w:hanging="360"/>
      </w:pPr>
      <w:rPr>
        <w:rFonts w:ascii="Symbol" w:hAnsi="Symbol" w:hint="default"/>
      </w:rPr>
    </w:lvl>
    <w:lvl w:ilvl="7" w:tplc="5C34BF1E" w:tentative="1">
      <w:start w:val="1"/>
      <w:numFmt w:val="bullet"/>
      <w:lvlText w:val=""/>
      <w:lvlPicBulletId w:val="0"/>
      <w:lvlJc w:val="left"/>
      <w:pPr>
        <w:tabs>
          <w:tab w:val="num" w:pos="5760"/>
        </w:tabs>
        <w:ind w:left="5760" w:hanging="360"/>
      </w:pPr>
      <w:rPr>
        <w:rFonts w:ascii="Symbol" w:hAnsi="Symbol" w:hint="default"/>
      </w:rPr>
    </w:lvl>
    <w:lvl w:ilvl="8" w:tplc="7BEC8BE2" w:tentative="1">
      <w:start w:val="1"/>
      <w:numFmt w:val="bullet"/>
      <w:lvlText w:val=""/>
      <w:lvlPicBulletId w:val="0"/>
      <w:lvlJc w:val="left"/>
      <w:pPr>
        <w:tabs>
          <w:tab w:val="num" w:pos="6480"/>
        </w:tabs>
        <w:ind w:left="6480" w:hanging="360"/>
      </w:pPr>
      <w:rPr>
        <w:rFonts w:ascii="Symbol" w:hAnsi="Symbol" w:hint="default"/>
      </w:rPr>
    </w:lvl>
  </w:abstractNum>
  <w:abstractNum w:abstractNumId="7"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11"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2" w15:restartNumberingAfterBreak="0">
    <w:nsid w:val="75F33717"/>
    <w:multiLevelType w:val="hybridMultilevel"/>
    <w:tmpl w:val="581EFC62"/>
    <w:lvl w:ilvl="0" w:tplc="04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6"/>
  </w:num>
  <w:num w:numId="4">
    <w:abstractNumId w:val="2"/>
  </w:num>
  <w:num w:numId="5">
    <w:abstractNumId w:val="14"/>
  </w:num>
  <w:num w:numId="6">
    <w:abstractNumId w:val="3"/>
  </w:num>
  <w:num w:numId="7">
    <w:abstractNumId w:val="8"/>
  </w:num>
  <w:num w:numId="8">
    <w:abstractNumId w:val="9"/>
  </w:num>
  <w:num w:numId="9">
    <w:abstractNumId w:val="7"/>
  </w:num>
  <w:num w:numId="10">
    <w:abstractNumId w:val="13"/>
  </w:num>
  <w:num w:numId="11">
    <w:abstractNumId w:val="11"/>
  </w:num>
  <w:num w:numId="12">
    <w:abstractNumId w:val="0"/>
  </w:num>
  <w:num w:numId="13">
    <w:abstractNumId w:val="10"/>
  </w:num>
  <w:num w:numId="14">
    <w:abstractNumId w:val="5"/>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53C3"/>
    <w:rsid w:val="00013645"/>
    <w:rsid w:val="000230E8"/>
    <w:rsid w:val="00036320"/>
    <w:rsid w:val="000533B3"/>
    <w:rsid w:val="00057999"/>
    <w:rsid w:val="000816C5"/>
    <w:rsid w:val="000A33E1"/>
    <w:rsid w:val="000B1D28"/>
    <w:rsid w:val="000C2A3A"/>
    <w:rsid w:val="000F28DB"/>
    <w:rsid w:val="00107484"/>
    <w:rsid w:val="00124A8B"/>
    <w:rsid w:val="00133092"/>
    <w:rsid w:val="001A3927"/>
    <w:rsid w:val="001A63C9"/>
    <w:rsid w:val="001B734D"/>
    <w:rsid w:val="001C0434"/>
    <w:rsid w:val="001D29F1"/>
    <w:rsid w:val="00213391"/>
    <w:rsid w:val="00234512"/>
    <w:rsid w:val="00235A30"/>
    <w:rsid w:val="00252A79"/>
    <w:rsid w:val="00255576"/>
    <w:rsid w:val="0027353A"/>
    <w:rsid w:val="002C0869"/>
    <w:rsid w:val="002E0071"/>
    <w:rsid w:val="002E4F25"/>
    <w:rsid w:val="002F707F"/>
    <w:rsid w:val="00320473"/>
    <w:rsid w:val="00376117"/>
    <w:rsid w:val="0039004F"/>
    <w:rsid w:val="003B0C58"/>
    <w:rsid w:val="003B154D"/>
    <w:rsid w:val="003B3DF5"/>
    <w:rsid w:val="003C1541"/>
    <w:rsid w:val="003D6CF3"/>
    <w:rsid w:val="003E3C38"/>
    <w:rsid w:val="00412627"/>
    <w:rsid w:val="00422A0D"/>
    <w:rsid w:val="00433938"/>
    <w:rsid w:val="00434391"/>
    <w:rsid w:val="004600A7"/>
    <w:rsid w:val="00462D5C"/>
    <w:rsid w:val="004632D5"/>
    <w:rsid w:val="00467726"/>
    <w:rsid w:val="00476C8F"/>
    <w:rsid w:val="004A0B5F"/>
    <w:rsid w:val="004D53A5"/>
    <w:rsid w:val="005174CE"/>
    <w:rsid w:val="005244AE"/>
    <w:rsid w:val="005255B7"/>
    <w:rsid w:val="00534749"/>
    <w:rsid w:val="00540703"/>
    <w:rsid w:val="00547874"/>
    <w:rsid w:val="00562E74"/>
    <w:rsid w:val="0056480B"/>
    <w:rsid w:val="005749FC"/>
    <w:rsid w:val="00587C7D"/>
    <w:rsid w:val="00591261"/>
    <w:rsid w:val="005971E3"/>
    <w:rsid w:val="005A382B"/>
    <w:rsid w:val="005C2088"/>
    <w:rsid w:val="00612023"/>
    <w:rsid w:val="00617B71"/>
    <w:rsid w:val="006213D0"/>
    <w:rsid w:val="00626DE9"/>
    <w:rsid w:val="00634AEC"/>
    <w:rsid w:val="0065604C"/>
    <w:rsid w:val="00670B18"/>
    <w:rsid w:val="00690982"/>
    <w:rsid w:val="006A505D"/>
    <w:rsid w:val="006B5018"/>
    <w:rsid w:val="006B651D"/>
    <w:rsid w:val="006D22AF"/>
    <w:rsid w:val="006D416F"/>
    <w:rsid w:val="006E413E"/>
    <w:rsid w:val="00700885"/>
    <w:rsid w:val="00720E28"/>
    <w:rsid w:val="00721107"/>
    <w:rsid w:val="007247B9"/>
    <w:rsid w:val="0072497D"/>
    <w:rsid w:val="00771A3C"/>
    <w:rsid w:val="00775532"/>
    <w:rsid w:val="00775FB0"/>
    <w:rsid w:val="00780FAC"/>
    <w:rsid w:val="007928EF"/>
    <w:rsid w:val="007A5D60"/>
    <w:rsid w:val="007A7127"/>
    <w:rsid w:val="007B4A88"/>
    <w:rsid w:val="008178DE"/>
    <w:rsid w:val="00832EF2"/>
    <w:rsid w:val="008443CB"/>
    <w:rsid w:val="00851ABD"/>
    <w:rsid w:val="008A0291"/>
    <w:rsid w:val="008C2DEB"/>
    <w:rsid w:val="008C3BEF"/>
    <w:rsid w:val="008E27E2"/>
    <w:rsid w:val="008E541D"/>
    <w:rsid w:val="008F0DD8"/>
    <w:rsid w:val="008F372B"/>
    <w:rsid w:val="00902171"/>
    <w:rsid w:val="009140EA"/>
    <w:rsid w:val="00917090"/>
    <w:rsid w:val="00921D00"/>
    <w:rsid w:val="009514A6"/>
    <w:rsid w:val="00953608"/>
    <w:rsid w:val="009745D1"/>
    <w:rsid w:val="00974A94"/>
    <w:rsid w:val="00980ACE"/>
    <w:rsid w:val="0098203B"/>
    <w:rsid w:val="009923BC"/>
    <w:rsid w:val="009B6EE7"/>
    <w:rsid w:val="009C25EE"/>
    <w:rsid w:val="009F2F24"/>
    <w:rsid w:val="009F43CD"/>
    <w:rsid w:val="00A12510"/>
    <w:rsid w:val="00A2709C"/>
    <w:rsid w:val="00A272AB"/>
    <w:rsid w:val="00A378EA"/>
    <w:rsid w:val="00A56F67"/>
    <w:rsid w:val="00A67D69"/>
    <w:rsid w:val="00A76CE2"/>
    <w:rsid w:val="00A77DD5"/>
    <w:rsid w:val="00AA7CBB"/>
    <w:rsid w:val="00AE1E18"/>
    <w:rsid w:val="00B00392"/>
    <w:rsid w:val="00B536BF"/>
    <w:rsid w:val="00B67C0A"/>
    <w:rsid w:val="00B7383C"/>
    <w:rsid w:val="00B819EB"/>
    <w:rsid w:val="00B9746B"/>
    <w:rsid w:val="00BB28F2"/>
    <w:rsid w:val="00BD2E82"/>
    <w:rsid w:val="00BF7175"/>
    <w:rsid w:val="00C23CCD"/>
    <w:rsid w:val="00C3131E"/>
    <w:rsid w:val="00C473F0"/>
    <w:rsid w:val="00C64FFB"/>
    <w:rsid w:val="00C8687D"/>
    <w:rsid w:val="00C92B04"/>
    <w:rsid w:val="00C95CFC"/>
    <w:rsid w:val="00CD1230"/>
    <w:rsid w:val="00CD4578"/>
    <w:rsid w:val="00CE0A3E"/>
    <w:rsid w:val="00D04041"/>
    <w:rsid w:val="00D0678F"/>
    <w:rsid w:val="00D11BCC"/>
    <w:rsid w:val="00D2076D"/>
    <w:rsid w:val="00D230E4"/>
    <w:rsid w:val="00D26396"/>
    <w:rsid w:val="00D451C5"/>
    <w:rsid w:val="00D6214D"/>
    <w:rsid w:val="00D65FAC"/>
    <w:rsid w:val="00DB7A50"/>
    <w:rsid w:val="00DD0150"/>
    <w:rsid w:val="00E0554B"/>
    <w:rsid w:val="00E13065"/>
    <w:rsid w:val="00E2202E"/>
    <w:rsid w:val="00E47BC9"/>
    <w:rsid w:val="00E53192"/>
    <w:rsid w:val="00E5783A"/>
    <w:rsid w:val="00E65567"/>
    <w:rsid w:val="00E70E28"/>
    <w:rsid w:val="00E74B15"/>
    <w:rsid w:val="00E87FD2"/>
    <w:rsid w:val="00E9298B"/>
    <w:rsid w:val="00E9525A"/>
    <w:rsid w:val="00EA7AD5"/>
    <w:rsid w:val="00EB17E7"/>
    <w:rsid w:val="00EC6AD9"/>
    <w:rsid w:val="00ED7C3D"/>
    <w:rsid w:val="00EE2B63"/>
    <w:rsid w:val="00EF2AA3"/>
    <w:rsid w:val="00EF44E1"/>
    <w:rsid w:val="00F03220"/>
    <w:rsid w:val="00F228DC"/>
    <w:rsid w:val="00F532DC"/>
    <w:rsid w:val="00F5677D"/>
    <w:rsid w:val="00F7248E"/>
    <w:rsid w:val="00F842DE"/>
    <w:rsid w:val="00F90077"/>
    <w:rsid w:val="00F90886"/>
    <w:rsid w:val="00FA1FCA"/>
    <w:rsid w:val="00FB5012"/>
    <w:rsid w:val="00FC1BD0"/>
    <w:rsid w:val="00FD7075"/>
    <w:rsid w:val="00FE2FE5"/>
    <w:rsid w:val="0C587732"/>
    <w:rsid w:val="2AC1CCBD"/>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541D"/>
    <w:pPr>
      <w:spacing w:line="360" w:lineRule="auto"/>
    </w:pPr>
    <w:rPr>
      <w:rFonts w:ascii="Arial" w:hAnsi="Arial"/>
      <w:sz w:val="24"/>
    </w:rPr>
  </w:style>
  <w:style w:type="paragraph" w:styleId="Heading1">
    <w:name w:val="heading 1"/>
    <w:basedOn w:val="NormalWeb"/>
    <w:next w:val="Normal"/>
    <w:link w:val="Heading1Char"/>
    <w:uiPriority w:val="9"/>
    <w:qFormat/>
    <w:rsid w:val="004D53A5"/>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36"/>
      <w:szCs w:val="36"/>
    </w:rPr>
  </w:style>
  <w:style w:type="paragraph" w:styleId="Heading2">
    <w:name w:val="heading 2"/>
    <w:basedOn w:val="NormalWeb"/>
    <w:next w:val="Normal"/>
    <w:link w:val="Heading2Char"/>
    <w:uiPriority w:val="9"/>
    <w:unhideWhenUsed/>
    <w:qFormat/>
    <w:rsid w:val="00E9298B"/>
    <w:pPr>
      <w:shd w:val="clear" w:color="auto" w:fill="FFFFFF"/>
      <w:spacing w:before="360" w:beforeAutospacing="0" w:after="120" w:afterAutospacing="0" w:line="276" w:lineRule="auto"/>
      <w:ind w:left="142" w:right="306"/>
      <w:outlineLvl w:val="1"/>
    </w:pPr>
    <w:rPr>
      <w:rFonts w:ascii="Arial Rounded MT Bold" w:hAnsi="Arial Rounded MT Bold" w:cs="Arial"/>
      <w:color w:val="002060"/>
      <w:sz w:val="32"/>
      <w:szCs w:val="32"/>
    </w:rPr>
  </w:style>
  <w:style w:type="paragraph" w:styleId="Heading3">
    <w:name w:val="heading 3"/>
    <w:basedOn w:val="Normal"/>
    <w:next w:val="Normal"/>
    <w:link w:val="Heading3Char"/>
    <w:uiPriority w:val="9"/>
    <w:unhideWhenUsed/>
    <w:qFormat/>
    <w:rsid w:val="00832EF2"/>
    <w:pPr>
      <w:keepNext/>
      <w:keepLines/>
      <w:spacing w:before="200" w:after="0"/>
      <w:outlineLvl w:val="2"/>
    </w:pPr>
    <w:rPr>
      <w:rFonts w:eastAsiaTheme="majorEastAsia" w:cstheme="majorBidi"/>
      <w:b/>
      <w:bCs/>
      <w:color w:val="4A66AC" w:themeColor="accent1"/>
      <w:sz w:val="28"/>
    </w:rPr>
  </w:style>
  <w:style w:type="paragraph" w:styleId="Heading4">
    <w:name w:val="heading 4"/>
    <w:basedOn w:val="Normal"/>
    <w:next w:val="Normal"/>
    <w:link w:val="Heading4Char"/>
    <w:uiPriority w:val="9"/>
    <w:unhideWhenUsed/>
    <w:qFormat/>
    <w:rsid w:val="003B3DF5"/>
    <w:pPr>
      <w:keepNext/>
      <w:keepLines/>
      <w:spacing w:before="200" w:after="0"/>
      <w:outlineLvl w:val="3"/>
    </w:pPr>
    <w:rPr>
      <w:rFonts w:asciiTheme="majorHAnsi" w:eastAsiaTheme="majorEastAsia" w:hAnsiTheme="majorHAnsi" w:cstheme="majorBidi"/>
      <w:b/>
      <w:bCs/>
      <w:i/>
      <w:iCs/>
      <w:color w:val="4A66AC" w:themeColor="accent1"/>
    </w:rPr>
  </w:style>
  <w:style w:type="paragraph" w:styleId="Heading5">
    <w:name w:val="heading 5"/>
    <w:basedOn w:val="Normal"/>
    <w:next w:val="Normal"/>
    <w:link w:val="Heading5Char"/>
    <w:uiPriority w:val="9"/>
    <w:semiHidden/>
    <w:unhideWhenUsed/>
    <w:qFormat/>
    <w:rsid w:val="003B3DF5"/>
    <w:pPr>
      <w:keepNext/>
      <w:keepLines/>
      <w:spacing w:before="200" w:after="0"/>
      <w:outlineLvl w:val="4"/>
    </w:pPr>
    <w:rPr>
      <w:rFonts w:asciiTheme="majorHAnsi" w:eastAsiaTheme="majorEastAsia" w:hAnsiTheme="majorHAnsi" w:cstheme="majorBidi"/>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9298B"/>
    <w:rPr>
      <w:rFonts w:ascii="Arial Rounded MT Bold" w:eastAsia="Times New Roman" w:hAnsi="Arial Rounded MT Bold" w:cs="Arial"/>
      <w:color w:val="002060"/>
      <w:sz w:val="32"/>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4D53A5"/>
    <w:rPr>
      <w:rFonts w:ascii="Arial Rounded MT Bold" w:eastAsia="Times New Roman" w:hAnsi="Arial Rounded MT Bold" w:cs="Arial"/>
      <w:b/>
      <w:color w:val="002060"/>
      <w:sz w:val="36"/>
      <w:szCs w:val="36"/>
      <w:shd w:val="clear" w:color="auto" w:fill="FFFFFF"/>
      <w:lang w:eastAsia="en-NZ"/>
    </w:rPr>
  </w:style>
  <w:style w:type="character" w:customStyle="1" w:styleId="Heading3Char">
    <w:name w:val="Heading 3 Char"/>
    <w:basedOn w:val="DefaultParagraphFont"/>
    <w:link w:val="Heading3"/>
    <w:uiPriority w:val="9"/>
    <w:rsid w:val="00832EF2"/>
    <w:rPr>
      <w:rFonts w:ascii="Arial" w:eastAsiaTheme="majorEastAsia" w:hAnsi="Arial" w:cstheme="majorBidi"/>
      <w:b/>
      <w:bCs/>
      <w:color w:val="4A66AC" w:themeColor="accent1"/>
      <w:sz w:val="28"/>
    </w:rPr>
  </w:style>
  <w:style w:type="character" w:customStyle="1" w:styleId="Heading4Char">
    <w:name w:val="Heading 4 Char"/>
    <w:basedOn w:val="DefaultParagraphFont"/>
    <w:link w:val="Heading4"/>
    <w:uiPriority w:val="9"/>
    <w:rsid w:val="003B3DF5"/>
    <w:rPr>
      <w:rFonts w:asciiTheme="majorHAnsi" w:eastAsiaTheme="majorEastAsia" w:hAnsiTheme="majorHAnsi" w:cstheme="majorBidi"/>
      <w:b/>
      <w:bCs/>
      <w:i/>
      <w:iCs/>
      <w:color w:val="4A66AC" w:themeColor="accent1"/>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semiHidden/>
    <w:rsid w:val="003B3DF5"/>
    <w:rPr>
      <w:rFonts w:asciiTheme="majorHAnsi" w:eastAsiaTheme="majorEastAsia" w:hAnsiTheme="majorHAnsi" w:cstheme="majorBidi"/>
      <w:color w:val="243255" w:themeColor="accent1" w:themeShade="7F"/>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8E541D"/>
    <w:rPr>
      <w:rFonts w:ascii="Arial" w:hAnsi="Arial" w:cs="Arial"/>
      <w:color w:val="002060"/>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3B3DF5"/>
    <w:rPr>
      <w:i/>
      <w:iCs/>
      <w:color w:val="000000" w:themeColor="text1"/>
    </w:rPr>
  </w:style>
  <w:style w:type="character" w:customStyle="1" w:styleId="QuoteChar">
    <w:name w:val="Quote Char"/>
    <w:basedOn w:val="DefaultParagraphFont"/>
    <w:link w:val="Quote"/>
    <w:uiPriority w:val="29"/>
    <w:rsid w:val="003B3DF5"/>
    <w:rPr>
      <w:i/>
      <w:iCs/>
      <w:color w:val="000000" w:themeColor="text1"/>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semiHidden/>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semiHidden/>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licy@dpa.org.n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2" Type="http://schemas.openxmlformats.org/officeDocument/2006/relationships/hyperlink" Target="https://www.un.org/development/desa/disabilities/convention-on-the-rights-of-persons-with-disabilities.html" TargetMode="External"/><Relationship Id="rId1" Type="http://schemas.openxmlformats.org/officeDocument/2006/relationships/hyperlink" Target="https://word-edit.officeapps.live.com/we/wordeditorframe.aspx?ui=en%2DUS&amp;rs=en%2DUS&amp;hid=m0%2F9pQwJR0GDRPU%2FLPT4sg%2E0&amp;WOPISrc=https%3A%2F%2Fwopi%2Eonedrive%2Ecom%2Fwopi%2Ffiles%2F6B77436FA21D4687%212012&amp;&amp;&amp;sc=host%3D%26qt%3DFolders&amp;wdlor=cB6E7A848%2D9BA6%2D4169%2D8B78%2DF423CA05BFA1&amp;wdo=2&amp;wde=docx&amp;wdp=3&amp;wdOrigin=AppModeSwitch&amp;wdredirectionreason=Unified%5FViewActionUrl&amp;wdPid=1368214B&amp;wdModeSwitchTime=1628565219562&amp;wdPreviousSession=d580271e-655a-40a6-a8d9-ec6fd03139ac&amp;uih=OneDrive&amp;pdcn=pdc6b0"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1DBD82-0BBF-4C00-811A-B51966CDFB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763</Words>
  <Characters>4353</Characters>
  <Application>Microsoft Office Word</Application>
  <DocSecurity>0</DocSecurity>
  <Lines>36</Lines>
  <Paragraphs>10</Paragraphs>
  <ScaleCrop>false</ScaleCrop>
  <Company/>
  <LinksUpToDate>false</LinksUpToDate>
  <CharactersWithSpaces>5106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2021-08-13T01:37:00Z</dcterms:created>
  <dcterms:modified xsi:type="dcterms:W3CDTF">2021-08-13T01:37:00Z</dcterms:modified>
</cp:coreProperties>
</file>