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FFC19" w14:textId="1E94A21F" w:rsidR="003C0A13" w:rsidRDefault="47053501" w:rsidP="1C714392">
      <w:pPr>
        <w:spacing w:line="360" w:lineRule="auto"/>
        <w:jc w:val="center"/>
      </w:pPr>
      <w:r>
        <w:rPr>
          <w:noProof/>
        </w:rPr>
        <w:drawing>
          <wp:inline distT="0" distB="0" distL="0" distR="0" wp14:anchorId="4BB4FAFD" wp14:editId="1C714392">
            <wp:extent cx="2447925" cy="1704975"/>
            <wp:effectExtent l="0" t="0" r="0" b="0"/>
            <wp:docPr id="142668691" name="Picture 14266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47925" cy="1704975"/>
                    </a:xfrm>
                    <a:prstGeom prst="rect">
                      <a:avLst/>
                    </a:prstGeom>
                  </pic:spPr>
                </pic:pic>
              </a:graphicData>
            </a:graphic>
          </wp:inline>
        </w:drawing>
      </w:r>
    </w:p>
    <w:p w14:paraId="4C2100FE" w14:textId="5D102937" w:rsidR="003C0A13" w:rsidRDefault="2DB5F221" w:rsidP="1C714392">
      <w:pPr>
        <w:spacing w:line="360" w:lineRule="auto"/>
        <w:rPr>
          <w:rFonts w:ascii="Arial" w:eastAsia="Arial" w:hAnsi="Arial" w:cs="Arial"/>
          <w:color w:val="000000" w:themeColor="text1"/>
          <w:sz w:val="24"/>
          <w:szCs w:val="24"/>
          <w:lang w:val="en-NZ"/>
        </w:rPr>
      </w:pPr>
      <w:r w:rsidRPr="1C714392">
        <w:rPr>
          <w:rFonts w:ascii="Arial" w:eastAsia="Arial" w:hAnsi="Arial" w:cs="Arial"/>
          <w:color w:val="000000" w:themeColor="text1"/>
          <w:sz w:val="24"/>
          <w:szCs w:val="24"/>
          <w:lang w:val="en-NZ"/>
        </w:rPr>
        <w:t>April 2024</w:t>
      </w:r>
    </w:p>
    <w:p w14:paraId="47E32337" w14:textId="702ADFE1" w:rsidR="003C0A13" w:rsidRDefault="003C0A13" w:rsidP="3DE9AD76">
      <w:pPr>
        <w:spacing w:line="360" w:lineRule="auto"/>
        <w:rPr>
          <w:rFonts w:ascii="Arial" w:eastAsia="Arial" w:hAnsi="Arial" w:cs="Arial"/>
          <w:color w:val="000000" w:themeColor="text1"/>
          <w:sz w:val="24"/>
          <w:szCs w:val="24"/>
        </w:rPr>
      </w:pPr>
    </w:p>
    <w:p w14:paraId="51031BA0" w14:textId="3C47C9FF" w:rsidR="003C0A13" w:rsidRDefault="14CBD302" w:rsidP="1C714392">
      <w:pPr>
        <w:spacing w:line="360" w:lineRule="auto"/>
        <w:rPr>
          <w:rFonts w:ascii="Arial" w:eastAsia="Arial" w:hAnsi="Arial" w:cs="Arial"/>
          <w:b/>
          <w:bCs/>
          <w:color w:val="000000" w:themeColor="text1"/>
          <w:sz w:val="24"/>
          <w:szCs w:val="24"/>
          <w:lang w:val="en-NZ"/>
        </w:rPr>
      </w:pPr>
      <w:r w:rsidRPr="1C714392">
        <w:rPr>
          <w:rFonts w:ascii="Arial" w:eastAsia="Arial" w:hAnsi="Arial" w:cs="Arial"/>
          <w:b/>
          <w:bCs/>
          <w:color w:val="000000" w:themeColor="text1"/>
          <w:sz w:val="24"/>
          <w:szCs w:val="24"/>
          <w:lang w:val="en-NZ"/>
        </w:rPr>
        <w:t>To</w:t>
      </w:r>
      <w:r w:rsidR="71EFBB05" w:rsidRPr="1C714392">
        <w:rPr>
          <w:rFonts w:ascii="Arial" w:eastAsia="Arial" w:hAnsi="Arial" w:cs="Arial"/>
          <w:b/>
          <w:bCs/>
          <w:color w:val="000000" w:themeColor="text1"/>
          <w:sz w:val="24"/>
          <w:szCs w:val="24"/>
          <w:lang w:val="en-NZ"/>
        </w:rPr>
        <w:t>: Accident Compensation Corporation</w:t>
      </w:r>
    </w:p>
    <w:p w14:paraId="41119208" w14:textId="61968C23" w:rsidR="71EFBB05" w:rsidRDefault="71EFBB05" w:rsidP="1C714392">
      <w:pPr>
        <w:spacing w:line="360" w:lineRule="auto"/>
        <w:rPr>
          <w:rFonts w:ascii="Arial" w:eastAsia="Arial" w:hAnsi="Arial" w:cs="Arial"/>
          <w:color w:val="000000" w:themeColor="text1"/>
          <w:sz w:val="24"/>
          <w:szCs w:val="24"/>
          <w:lang w:val="en-NZ"/>
        </w:rPr>
      </w:pPr>
      <w:r w:rsidRPr="1C714392">
        <w:rPr>
          <w:rFonts w:ascii="Arial" w:eastAsia="Arial" w:hAnsi="Arial" w:cs="Arial"/>
          <w:color w:val="000000" w:themeColor="text1"/>
          <w:sz w:val="24"/>
          <w:szCs w:val="24"/>
          <w:lang w:val="en-NZ"/>
        </w:rPr>
        <w:t xml:space="preserve">Please find attached </w:t>
      </w:r>
      <w:r w:rsidR="282B878D" w:rsidRPr="1C714392">
        <w:rPr>
          <w:rFonts w:ascii="Arial" w:eastAsia="Arial" w:hAnsi="Arial" w:cs="Arial"/>
          <w:color w:val="000000" w:themeColor="text1"/>
          <w:sz w:val="24"/>
          <w:szCs w:val="24"/>
          <w:lang w:val="en-NZ"/>
        </w:rPr>
        <w:t xml:space="preserve">DPA’s submission on the </w:t>
      </w:r>
      <w:r w:rsidR="13A89F5B" w:rsidRPr="1C714392">
        <w:rPr>
          <w:rFonts w:ascii="Arial" w:eastAsia="Arial" w:hAnsi="Arial" w:cs="Arial"/>
          <w:color w:val="000000" w:themeColor="text1"/>
          <w:sz w:val="24"/>
          <w:szCs w:val="24"/>
          <w:lang w:val="en-NZ"/>
        </w:rPr>
        <w:t>ACC Annual Scheme Access Reporting Consultation Paper</w:t>
      </w:r>
      <w:r w:rsidR="791361CE" w:rsidRPr="1C714392">
        <w:rPr>
          <w:rFonts w:ascii="Arial" w:eastAsia="Arial" w:hAnsi="Arial" w:cs="Arial"/>
          <w:color w:val="000000" w:themeColor="text1"/>
          <w:sz w:val="24"/>
          <w:szCs w:val="24"/>
          <w:lang w:val="en-NZ"/>
        </w:rPr>
        <w:t xml:space="preserve"> 2024</w:t>
      </w:r>
    </w:p>
    <w:p w14:paraId="22C9E39C" w14:textId="77777777" w:rsidR="008D71A2" w:rsidRDefault="008D71A2" w:rsidP="3DE9AD76">
      <w:pPr>
        <w:spacing w:before="360" w:after="120" w:line="276" w:lineRule="auto"/>
        <w:ind w:left="142" w:right="306"/>
        <w:jc w:val="center"/>
        <w:rPr>
          <w:rFonts w:ascii="Arial Rounded MT Bold" w:eastAsia="Arial Rounded MT Bold" w:hAnsi="Arial Rounded MT Bold" w:cs="Arial Rounded MT Bold"/>
          <w:color w:val="002060"/>
          <w:sz w:val="32"/>
          <w:szCs w:val="32"/>
          <w:lang w:val="en-NZ"/>
        </w:rPr>
      </w:pPr>
    </w:p>
    <w:p w14:paraId="0F1A21A2" w14:textId="77777777" w:rsidR="008D71A2" w:rsidRDefault="008D71A2" w:rsidP="3DE9AD76">
      <w:pPr>
        <w:spacing w:before="360" w:after="120" w:line="276" w:lineRule="auto"/>
        <w:ind w:left="142" w:right="306"/>
        <w:jc w:val="center"/>
        <w:rPr>
          <w:rFonts w:ascii="Arial Rounded MT Bold" w:eastAsia="Arial Rounded MT Bold" w:hAnsi="Arial Rounded MT Bold" w:cs="Arial Rounded MT Bold"/>
          <w:color w:val="002060"/>
          <w:sz w:val="32"/>
          <w:szCs w:val="32"/>
          <w:lang w:val="en-NZ"/>
        </w:rPr>
      </w:pPr>
    </w:p>
    <w:p w14:paraId="6D5BBD76" w14:textId="362D9E2E" w:rsidR="003C0A13" w:rsidRDefault="14CBD302" w:rsidP="3DE9AD76">
      <w:pPr>
        <w:spacing w:before="360" w:after="120" w:line="276" w:lineRule="auto"/>
        <w:ind w:left="142" w:right="306"/>
        <w:jc w:val="center"/>
        <w:rPr>
          <w:rFonts w:ascii="Arial Rounded MT Bold" w:eastAsia="Arial Rounded MT Bold" w:hAnsi="Arial Rounded MT Bold" w:cs="Arial Rounded MT Bold"/>
          <w:color w:val="002060"/>
          <w:sz w:val="32"/>
          <w:szCs w:val="32"/>
        </w:rPr>
      </w:pPr>
      <w:r w:rsidRPr="3DE9AD76">
        <w:rPr>
          <w:rFonts w:ascii="Arial Rounded MT Bold" w:eastAsia="Arial Rounded MT Bold" w:hAnsi="Arial Rounded MT Bold" w:cs="Arial Rounded MT Bold"/>
          <w:color w:val="002060"/>
          <w:sz w:val="32"/>
          <w:szCs w:val="32"/>
          <w:lang w:val="en-NZ"/>
        </w:rPr>
        <w:t>Disabled Persons Assembly NZ</w:t>
      </w:r>
    </w:p>
    <w:p w14:paraId="67E52CD2" w14:textId="79701CA0" w:rsidR="003C0A13" w:rsidRDefault="003C0A13" w:rsidP="3DE9AD76">
      <w:pPr>
        <w:spacing w:before="120" w:after="120" w:line="276" w:lineRule="auto"/>
        <w:ind w:left="142" w:right="304"/>
        <w:rPr>
          <w:rFonts w:ascii="Arial" w:eastAsia="Arial" w:hAnsi="Arial" w:cs="Arial"/>
          <w:color w:val="000000" w:themeColor="text1"/>
          <w:sz w:val="24"/>
          <w:szCs w:val="24"/>
        </w:rPr>
      </w:pPr>
    </w:p>
    <w:p w14:paraId="7E856292" w14:textId="77777777" w:rsidR="00BA1EFC" w:rsidRDefault="00BA1EFC" w:rsidP="3DE9AD76">
      <w:pPr>
        <w:spacing w:line="360" w:lineRule="auto"/>
        <w:rPr>
          <w:rStyle w:val="Emphasis"/>
          <w:rFonts w:ascii="Arial" w:eastAsia="Arial" w:hAnsi="Arial" w:cs="Arial"/>
          <w:i w:val="0"/>
          <w:iCs w:val="0"/>
          <w:color w:val="002060"/>
          <w:sz w:val="24"/>
          <w:szCs w:val="24"/>
          <w:lang w:val="en-NZ"/>
        </w:rPr>
      </w:pPr>
    </w:p>
    <w:p w14:paraId="0F44ED6A" w14:textId="77777777" w:rsidR="00BA1EFC" w:rsidRDefault="00BA1EFC" w:rsidP="3DE9AD76">
      <w:pPr>
        <w:spacing w:line="360" w:lineRule="auto"/>
        <w:rPr>
          <w:rStyle w:val="Emphasis"/>
          <w:rFonts w:ascii="Arial" w:eastAsia="Arial" w:hAnsi="Arial" w:cs="Arial"/>
          <w:i w:val="0"/>
          <w:iCs w:val="0"/>
          <w:color w:val="002060"/>
          <w:sz w:val="24"/>
          <w:szCs w:val="24"/>
          <w:lang w:val="en-NZ"/>
        </w:rPr>
      </w:pPr>
    </w:p>
    <w:p w14:paraId="68D4C82B" w14:textId="77777777" w:rsidR="00BA1EFC" w:rsidRDefault="00BA1EFC" w:rsidP="3DE9AD76">
      <w:pPr>
        <w:spacing w:line="360" w:lineRule="auto"/>
        <w:rPr>
          <w:rStyle w:val="Emphasis"/>
          <w:rFonts w:ascii="Arial" w:eastAsia="Arial" w:hAnsi="Arial" w:cs="Arial"/>
          <w:i w:val="0"/>
          <w:iCs w:val="0"/>
          <w:color w:val="002060"/>
          <w:sz w:val="24"/>
          <w:szCs w:val="24"/>
          <w:lang w:val="en-NZ"/>
        </w:rPr>
      </w:pPr>
    </w:p>
    <w:p w14:paraId="72066D78" w14:textId="77777777" w:rsidR="00BA1EFC" w:rsidRDefault="00BA1EFC" w:rsidP="3DE9AD76">
      <w:pPr>
        <w:spacing w:line="360" w:lineRule="auto"/>
        <w:rPr>
          <w:rStyle w:val="Emphasis"/>
          <w:rFonts w:ascii="Arial" w:eastAsia="Arial" w:hAnsi="Arial" w:cs="Arial"/>
          <w:i w:val="0"/>
          <w:iCs w:val="0"/>
          <w:color w:val="002060"/>
          <w:sz w:val="24"/>
          <w:szCs w:val="24"/>
          <w:lang w:val="en-NZ"/>
        </w:rPr>
      </w:pPr>
    </w:p>
    <w:p w14:paraId="2B5809D8" w14:textId="1C77F33B" w:rsidR="003C0A13" w:rsidRDefault="14CBD302" w:rsidP="7DC579ED">
      <w:pPr>
        <w:spacing w:after="0" w:line="360" w:lineRule="auto"/>
        <w:rPr>
          <w:rStyle w:val="Emphasis"/>
          <w:rFonts w:ascii="Arial" w:eastAsia="Arial" w:hAnsi="Arial" w:cs="Arial"/>
          <w:i w:val="0"/>
          <w:iCs w:val="0"/>
          <w:sz w:val="24"/>
          <w:szCs w:val="24"/>
          <w:lang w:val="en-NZ"/>
        </w:rPr>
      </w:pPr>
      <w:r w:rsidRPr="7DC579ED">
        <w:rPr>
          <w:rStyle w:val="Emphasis"/>
          <w:rFonts w:ascii="Arial" w:eastAsia="Arial" w:hAnsi="Arial" w:cs="Arial"/>
          <w:i w:val="0"/>
          <w:iCs w:val="0"/>
          <w:sz w:val="24"/>
          <w:szCs w:val="24"/>
          <w:lang w:val="en-NZ"/>
        </w:rPr>
        <w:t>Contact:</w:t>
      </w:r>
    </w:p>
    <w:p w14:paraId="0D25AA48" w14:textId="0144F74B" w:rsidR="003C0A13" w:rsidRDefault="6833D1D3" w:rsidP="7DC579ED">
      <w:pPr>
        <w:spacing w:after="0" w:line="360" w:lineRule="auto"/>
        <w:rPr>
          <w:rStyle w:val="Emphasis"/>
          <w:rFonts w:ascii="Arial" w:eastAsia="Arial" w:hAnsi="Arial" w:cs="Arial"/>
          <w:i w:val="0"/>
          <w:iCs w:val="0"/>
          <w:sz w:val="24"/>
          <w:szCs w:val="24"/>
          <w:lang w:val="en-NZ"/>
        </w:rPr>
      </w:pPr>
      <w:r w:rsidRPr="7DC579ED">
        <w:rPr>
          <w:rStyle w:val="Emphasis"/>
          <w:rFonts w:ascii="Arial" w:eastAsia="Arial" w:hAnsi="Arial" w:cs="Arial"/>
          <w:i w:val="0"/>
          <w:iCs w:val="0"/>
          <w:sz w:val="24"/>
          <w:szCs w:val="24"/>
          <w:lang w:val="en-NZ"/>
        </w:rPr>
        <w:t>Chris Ford</w:t>
      </w:r>
    </w:p>
    <w:p w14:paraId="0DB82D19" w14:textId="1A511F2B" w:rsidR="003C0A13" w:rsidRDefault="6833D1D3" w:rsidP="7DC579ED">
      <w:pPr>
        <w:spacing w:after="0" w:line="360" w:lineRule="auto"/>
        <w:rPr>
          <w:rFonts w:ascii="Arial" w:eastAsia="Arial" w:hAnsi="Arial" w:cs="Arial"/>
          <w:b/>
          <w:bCs/>
          <w:color w:val="002060"/>
          <w:sz w:val="36"/>
          <w:szCs w:val="36"/>
        </w:rPr>
      </w:pPr>
      <w:r w:rsidRPr="7DC579ED">
        <w:rPr>
          <w:rStyle w:val="Emphasis"/>
          <w:rFonts w:ascii="Arial" w:eastAsia="Arial" w:hAnsi="Arial" w:cs="Arial"/>
          <w:i w:val="0"/>
          <w:iCs w:val="0"/>
          <w:sz w:val="24"/>
          <w:szCs w:val="24"/>
          <w:lang w:val="en-NZ"/>
        </w:rPr>
        <w:t>Regional Policy Advisor</w:t>
      </w:r>
      <w:r w:rsidR="6120B125" w:rsidRPr="7DC579ED">
        <w:rPr>
          <w:rStyle w:val="Emphasis"/>
          <w:rFonts w:ascii="Arial" w:eastAsia="Arial" w:hAnsi="Arial" w:cs="Arial"/>
          <w:i w:val="0"/>
          <w:iCs w:val="0"/>
          <w:sz w:val="24"/>
          <w:szCs w:val="24"/>
          <w:lang w:val="en-NZ"/>
        </w:rPr>
        <w:t xml:space="preserve"> (Southern and Central)</w:t>
      </w:r>
    </w:p>
    <w:p w14:paraId="43536E64" w14:textId="0281AFCD" w:rsidR="003C0A13" w:rsidRDefault="00000000" w:rsidP="7DC579ED">
      <w:pPr>
        <w:spacing w:after="0" w:line="360" w:lineRule="auto"/>
        <w:rPr>
          <w:rFonts w:ascii="Arial" w:eastAsia="Arial" w:hAnsi="Arial" w:cs="Arial"/>
          <w:b/>
          <w:bCs/>
          <w:color w:val="002060"/>
          <w:sz w:val="36"/>
          <w:szCs w:val="36"/>
        </w:rPr>
      </w:pPr>
      <w:hyperlink r:id="rId11">
        <w:r w:rsidR="6833D1D3" w:rsidRPr="7DC579ED">
          <w:rPr>
            <w:rStyle w:val="Hyperlink"/>
            <w:rFonts w:ascii="Arial" w:eastAsia="Arial" w:hAnsi="Arial" w:cs="Arial"/>
            <w:color w:val="auto"/>
            <w:sz w:val="24"/>
            <w:szCs w:val="24"/>
            <w:lang w:val="en-NZ"/>
          </w:rPr>
          <w:t>policy@dpa.org.nz</w:t>
        </w:r>
      </w:hyperlink>
    </w:p>
    <w:p w14:paraId="2F682C32" w14:textId="48049757" w:rsidR="7DC579ED" w:rsidRDefault="7DC579ED" w:rsidP="7DC579ED">
      <w:pPr>
        <w:spacing w:after="0" w:line="360" w:lineRule="auto"/>
        <w:rPr>
          <w:rFonts w:ascii="Arial" w:eastAsia="Arial" w:hAnsi="Arial" w:cs="Arial"/>
          <w:b/>
          <w:bCs/>
          <w:color w:val="002060"/>
          <w:sz w:val="36"/>
          <w:szCs w:val="36"/>
          <w:lang w:val="en-NZ"/>
        </w:rPr>
      </w:pPr>
    </w:p>
    <w:p w14:paraId="071E2796" w14:textId="77777777" w:rsidR="0062289C" w:rsidRDefault="0062289C">
      <w:pPr>
        <w:rPr>
          <w:rFonts w:ascii="Arial" w:eastAsia="Arial" w:hAnsi="Arial" w:cs="Arial"/>
          <w:b/>
          <w:bCs/>
          <w:color w:val="002060"/>
          <w:sz w:val="36"/>
          <w:szCs w:val="36"/>
          <w:lang w:val="en-NZ"/>
        </w:rPr>
      </w:pPr>
      <w:r>
        <w:rPr>
          <w:rFonts w:ascii="Arial" w:eastAsia="Arial" w:hAnsi="Arial" w:cs="Arial"/>
          <w:b/>
          <w:bCs/>
          <w:color w:val="002060"/>
          <w:sz w:val="36"/>
          <w:szCs w:val="36"/>
          <w:lang w:val="en-NZ"/>
        </w:rPr>
        <w:br w:type="page"/>
      </w:r>
    </w:p>
    <w:p w14:paraId="3E6717B7" w14:textId="343F9AB0" w:rsidR="003C0A13" w:rsidRDefault="14CBD302" w:rsidP="1C714392">
      <w:pPr>
        <w:spacing w:after="0" w:line="360" w:lineRule="auto"/>
        <w:rPr>
          <w:rFonts w:ascii="Arial" w:eastAsia="Arial" w:hAnsi="Arial" w:cs="Arial"/>
          <w:b/>
          <w:bCs/>
          <w:color w:val="002060"/>
          <w:sz w:val="36"/>
          <w:szCs w:val="36"/>
        </w:rPr>
      </w:pPr>
      <w:r w:rsidRPr="1C714392">
        <w:rPr>
          <w:rFonts w:ascii="Arial" w:eastAsia="Arial" w:hAnsi="Arial" w:cs="Arial"/>
          <w:b/>
          <w:bCs/>
          <w:color w:val="002060"/>
          <w:sz w:val="36"/>
          <w:szCs w:val="36"/>
          <w:lang w:val="en-NZ"/>
        </w:rPr>
        <w:lastRenderedPageBreak/>
        <w:t>Introducing Disabled Persons Assembly</w:t>
      </w:r>
    </w:p>
    <w:p w14:paraId="2CD0A1ED" w14:textId="15F075F2" w:rsidR="003C0A13" w:rsidRDefault="14CBD302" w:rsidP="3DE9AD76">
      <w:pPr>
        <w:spacing w:line="360" w:lineRule="auto"/>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NZ"/>
        </w:rPr>
        <w:t xml:space="preserve">We work on systemic change for the equity of disabled </w:t>
      </w:r>
      <w:proofErr w:type="gramStart"/>
      <w:r w:rsidRPr="3DE9AD76">
        <w:rPr>
          <w:rFonts w:ascii="Arial" w:eastAsia="Arial" w:hAnsi="Arial" w:cs="Arial"/>
          <w:b/>
          <w:bCs/>
          <w:color w:val="000000" w:themeColor="text1"/>
          <w:sz w:val="24"/>
          <w:szCs w:val="24"/>
          <w:lang w:val="en-NZ"/>
        </w:rPr>
        <w:t>people</w:t>
      </w:r>
      <w:proofErr w:type="gramEnd"/>
      <w:r w:rsidRPr="3DE9AD76">
        <w:rPr>
          <w:rFonts w:ascii="Arial" w:eastAsia="Arial" w:hAnsi="Arial" w:cs="Arial"/>
          <w:color w:val="000000" w:themeColor="text1"/>
          <w:sz w:val="24"/>
          <w:szCs w:val="24"/>
          <w:lang w:val="en-NZ"/>
        </w:rPr>
        <w:t xml:space="preserve"> </w:t>
      </w:r>
    </w:p>
    <w:p w14:paraId="10341B9A" w14:textId="1013FC14" w:rsidR="003C0A13" w:rsidRDefault="14CBD302" w:rsidP="3DE9AD76">
      <w:p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Disabled Persons Assembly NZ (DPA) is a not-for-profit pan-impairment Disabled People’s Organisation run by and for disabled people.  </w:t>
      </w:r>
    </w:p>
    <w:p w14:paraId="63E7F359" w14:textId="20178880" w:rsidR="003C0A13" w:rsidRDefault="14CBD302" w:rsidP="3DE9AD76">
      <w:pPr>
        <w:spacing w:line="360" w:lineRule="auto"/>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US"/>
        </w:rPr>
        <w:t>We recognise:</w:t>
      </w:r>
    </w:p>
    <w:p w14:paraId="4A560956" w14:textId="2E03E37B" w:rsidR="003C0A13" w:rsidRDefault="14CBD302" w:rsidP="3DE9AD76">
      <w:pPr>
        <w:pStyle w:val="ListParagraph"/>
        <w:numPr>
          <w:ilvl w:val="0"/>
          <w:numId w:val="3"/>
        </w:num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Māori as Tangata Whenua and </w:t>
      </w:r>
      <w:hyperlink r:id="rId12">
        <w:r w:rsidRPr="3DE9AD76">
          <w:rPr>
            <w:rStyle w:val="Hyperlink"/>
            <w:rFonts w:ascii="Arial" w:eastAsia="Arial" w:hAnsi="Arial" w:cs="Arial"/>
            <w:sz w:val="24"/>
            <w:szCs w:val="24"/>
            <w:lang w:val="en-US"/>
          </w:rPr>
          <w:t>Te Tiriti o Waitangi</w:t>
        </w:r>
      </w:hyperlink>
      <w:r w:rsidRPr="3DE9AD76">
        <w:rPr>
          <w:rFonts w:ascii="Arial" w:eastAsia="Arial" w:hAnsi="Arial" w:cs="Arial"/>
          <w:color w:val="000000" w:themeColor="text1"/>
          <w:sz w:val="24"/>
          <w:szCs w:val="24"/>
          <w:lang w:val="en-US"/>
        </w:rPr>
        <w:t xml:space="preserve"> as the founding document of Aotearoa New Zealand;</w:t>
      </w:r>
    </w:p>
    <w:p w14:paraId="340BC670" w14:textId="5E7892A7" w:rsidR="003C0A13" w:rsidRDefault="14CBD302" w:rsidP="3DE9AD76">
      <w:pPr>
        <w:pStyle w:val="ListParagraph"/>
        <w:numPr>
          <w:ilvl w:val="0"/>
          <w:numId w:val="3"/>
        </w:num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disabled people as experts on their own </w:t>
      </w:r>
      <w:proofErr w:type="gramStart"/>
      <w:r w:rsidRPr="3DE9AD76">
        <w:rPr>
          <w:rFonts w:ascii="Arial" w:eastAsia="Arial" w:hAnsi="Arial" w:cs="Arial"/>
          <w:color w:val="000000" w:themeColor="text1"/>
          <w:sz w:val="24"/>
          <w:szCs w:val="24"/>
          <w:lang w:val="en-US"/>
        </w:rPr>
        <w:t>lives;</w:t>
      </w:r>
      <w:proofErr w:type="gramEnd"/>
    </w:p>
    <w:p w14:paraId="239BAB74" w14:textId="4C2BA838" w:rsidR="003C0A13" w:rsidRDefault="14CBD302" w:rsidP="3DE9AD76">
      <w:pPr>
        <w:pStyle w:val="ListParagraph"/>
        <w:numPr>
          <w:ilvl w:val="0"/>
          <w:numId w:val="3"/>
        </w:num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the </w:t>
      </w:r>
      <w:hyperlink r:id="rId13">
        <w:r w:rsidRPr="3DE9AD76">
          <w:rPr>
            <w:rStyle w:val="Hyperlink"/>
            <w:rFonts w:ascii="Arial" w:eastAsia="Arial" w:hAnsi="Arial" w:cs="Arial"/>
            <w:sz w:val="24"/>
            <w:szCs w:val="24"/>
            <w:lang w:val="en-US"/>
          </w:rPr>
          <w:t>Social Model of Disability</w:t>
        </w:r>
      </w:hyperlink>
      <w:r w:rsidRPr="3DE9AD76">
        <w:rPr>
          <w:rFonts w:ascii="Arial" w:eastAsia="Arial" w:hAnsi="Arial" w:cs="Arial"/>
          <w:color w:val="000000" w:themeColor="text1"/>
          <w:sz w:val="24"/>
          <w:szCs w:val="24"/>
          <w:lang w:val="en-US"/>
        </w:rPr>
        <w:t xml:space="preserve"> as the guiding principle for interpreting disability and impairment; </w:t>
      </w:r>
    </w:p>
    <w:p w14:paraId="59F4FEED" w14:textId="2146735A" w:rsidR="003C0A13" w:rsidRDefault="14CBD302" w:rsidP="3DE9AD76">
      <w:pPr>
        <w:pStyle w:val="ListParagraph"/>
        <w:numPr>
          <w:ilvl w:val="0"/>
          <w:numId w:val="3"/>
        </w:num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the </w:t>
      </w:r>
      <w:hyperlink r:id="rId14">
        <w:r w:rsidRPr="3DE9AD76">
          <w:rPr>
            <w:rStyle w:val="Hyperlink"/>
            <w:rFonts w:ascii="Arial" w:eastAsia="Arial" w:hAnsi="Arial" w:cs="Arial"/>
            <w:sz w:val="24"/>
            <w:szCs w:val="24"/>
            <w:lang w:val="en-US"/>
          </w:rPr>
          <w:t>United Nations Convention on the Rights of Persons with Disabilities</w:t>
        </w:r>
      </w:hyperlink>
      <w:r w:rsidRPr="3DE9AD76">
        <w:rPr>
          <w:rFonts w:ascii="Arial" w:eastAsia="Arial" w:hAnsi="Arial" w:cs="Arial"/>
          <w:color w:val="000000" w:themeColor="text1"/>
          <w:sz w:val="24"/>
          <w:szCs w:val="24"/>
          <w:lang w:val="en-US"/>
        </w:rPr>
        <w:t xml:space="preserve"> as the basis for disabled people’s relationship with the State;</w:t>
      </w:r>
    </w:p>
    <w:p w14:paraId="32F66A61" w14:textId="54FA1ED8" w:rsidR="003C0A13" w:rsidRDefault="14CBD302" w:rsidP="3DE9AD76">
      <w:pPr>
        <w:pStyle w:val="ListParagraph"/>
        <w:numPr>
          <w:ilvl w:val="0"/>
          <w:numId w:val="3"/>
        </w:num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the </w:t>
      </w:r>
      <w:hyperlink r:id="rId15">
        <w:r w:rsidRPr="3DE9AD76">
          <w:rPr>
            <w:rStyle w:val="Hyperlink"/>
            <w:rFonts w:ascii="Arial" w:eastAsia="Arial" w:hAnsi="Arial" w:cs="Arial"/>
            <w:sz w:val="24"/>
            <w:szCs w:val="24"/>
            <w:lang w:val="en-US"/>
          </w:rPr>
          <w:t>New Zealand Disability Strategy</w:t>
        </w:r>
      </w:hyperlink>
      <w:r w:rsidRPr="3DE9AD76">
        <w:rPr>
          <w:rFonts w:ascii="Arial" w:eastAsia="Arial" w:hAnsi="Arial" w:cs="Arial"/>
          <w:color w:val="000000" w:themeColor="text1"/>
          <w:sz w:val="24"/>
          <w:szCs w:val="24"/>
          <w:lang w:val="en-US"/>
        </w:rPr>
        <w:t xml:space="preserve"> as Government agencies’ guide on disability issues; and </w:t>
      </w:r>
    </w:p>
    <w:p w14:paraId="0D4CD9D5" w14:textId="0191EF19" w:rsidR="003C0A13" w:rsidRDefault="14CBD302" w:rsidP="3DE9AD76">
      <w:pPr>
        <w:pStyle w:val="ListParagraph"/>
        <w:numPr>
          <w:ilvl w:val="0"/>
          <w:numId w:val="3"/>
        </w:num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the </w:t>
      </w:r>
      <w:hyperlink r:id="rId16">
        <w:r w:rsidRPr="3DE9AD76">
          <w:rPr>
            <w:rStyle w:val="Hyperlink"/>
            <w:rFonts w:ascii="Arial" w:eastAsia="Arial" w:hAnsi="Arial" w:cs="Arial"/>
            <w:sz w:val="24"/>
            <w:szCs w:val="24"/>
            <w:lang w:val="en-US"/>
          </w:rPr>
          <w:t>Enabling Good Lives Principles</w:t>
        </w:r>
      </w:hyperlink>
      <w:r w:rsidRPr="3DE9AD76">
        <w:rPr>
          <w:rFonts w:ascii="Arial" w:eastAsia="Arial" w:hAnsi="Arial" w:cs="Arial"/>
          <w:color w:val="000000" w:themeColor="text1"/>
          <w:sz w:val="24"/>
          <w:szCs w:val="24"/>
          <w:lang w:val="en-US"/>
        </w:rPr>
        <w:t xml:space="preserve">, </w:t>
      </w:r>
      <w:hyperlink r:id="rId17">
        <w:r w:rsidRPr="3DE9AD76">
          <w:rPr>
            <w:rStyle w:val="Hyperlink"/>
            <w:rFonts w:ascii="Arial" w:eastAsia="Arial" w:hAnsi="Arial" w:cs="Arial"/>
            <w:sz w:val="24"/>
            <w:szCs w:val="24"/>
            <w:lang w:val="en-NZ"/>
          </w:rPr>
          <w:t>Whāia Te Ao Mārama: Māori Disability Action Plan</w:t>
        </w:r>
      </w:hyperlink>
      <w:r w:rsidRPr="3DE9AD76">
        <w:rPr>
          <w:rFonts w:ascii="Arial" w:eastAsia="Arial" w:hAnsi="Arial" w:cs="Arial"/>
          <w:color w:val="000000" w:themeColor="text1"/>
          <w:sz w:val="24"/>
          <w:szCs w:val="24"/>
          <w:lang w:val="en-NZ"/>
        </w:rPr>
        <w:t xml:space="preserve">, and </w:t>
      </w:r>
      <w:hyperlink r:id="rId18">
        <w:proofErr w:type="spellStart"/>
        <w:r w:rsidRPr="3DE9AD76">
          <w:rPr>
            <w:rStyle w:val="Hyperlink"/>
            <w:rFonts w:ascii="Arial" w:eastAsia="Arial" w:hAnsi="Arial" w:cs="Arial"/>
            <w:sz w:val="24"/>
            <w:szCs w:val="24"/>
            <w:lang w:val="en-NZ"/>
          </w:rPr>
          <w:t>Faiva</w:t>
        </w:r>
        <w:proofErr w:type="spellEnd"/>
        <w:r w:rsidRPr="3DE9AD76">
          <w:rPr>
            <w:rStyle w:val="Hyperlink"/>
            <w:rFonts w:ascii="Arial" w:eastAsia="Arial" w:hAnsi="Arial" w:cs="Arial"/>
            <w:sz w:val="24"/>
            <w:szCs w:val="24"/>
            <w:lang w:val="en-NZ"/>
          </w:rPr>
          <w:t xml:space="preserve"> Ora: National Pasifika Disability </w:t>
        </w:r>
        <w:proofErr w:type="spellStart"/>
        <w:r w:rsidRPr="3DE9AD76">
          <w:rPr>
            <w:rStyle w:val="Hyperlink"/>
            <w:rFonts w:ascii="Arial" w:eastAsia="Arial" w:hAnsi="Arial" w:cs="Arial"/>
            <w:sz w:val="24"/>
            <w:szCs w:val="24"/>
            <w:lang w:val="en-NZ"/>
          </w:rPr>
          <w:t>Disability</w:t>
        </w:r>
        <w:proofErr w:type="spellEnd"/>
        <w:r w:rsidRPr="3DE9AD76">
          <w:rPr>
            <w:rStyle w:val="Hyperlink"/>
            <w:rFonts w:ascii="Arial" w:eastAsia="Arial" w:hAnsi="Arial" w:cs="Arial"/>
            <w:sz w:val="24"/>
            <w:szCs w:val="24"/>
            <w:lang w:val="en-NZ"/>
          </w:rPr>
          <w:t xml:space="preserve"> Plan</w:t>
        </w:r>
      </w:hyperlink>
      <w:r w:rsidRPr="3DE9AD76">
        <w:rPr>
          <w:rFonts w:ascii="Arial" w:eastAsia="Arial" w:hAnsi="Arial" w:cs="Arial"/>
          <w:color w:val="000000" w:themeColor="text1"/>
          <w:sz w:val="24"/>
          <w:szCs w:val="24"/>
          <w:lang w:val="en-NZ"/>
        </w:rPr>
        <w:t xml:space="preserve"> </w:t>
      </w:r>
      <w:r w:rsidRPr="3DE9AD76">
        <w:rPr>
          <w:rFonts w:ascii="Arial" w:eastAsia="Arial" w:hAnsi="Arial" w:cs="Arial"/>
          <w:color w:val="000000" w:themeColor="text1"/>
          <w:sz w:val="24"/>
          <w:szCs w:val="24"/>
          <w:lang w:val="en-US"/>
        </w:rPr>
        <w:t xml:space="preserve">as avenues to disabled people gaining greater choice and control over their lives and supports. </w:t>
      </w:r>
    </w:p>
    <w:p w14:paraId="587ACBD6" w14:textId="6B2728AD" w:rsidR="003C0A13" w:rsidRDefault="14CBD302" w:rsidP="3DE9AD76">
      <w:pPr>
        <w:spacing w:line="360" w:lineRule="auto"/>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US"/>
        </w:rPr>
        <w:t xml:space="preserve">We drive systemic change through: </w:t>
      </w:r>
    </w:p>
    <w:p w14:paraId="7820E5DB" w14:textId="2A3D75AD" w:rsidR="003C0A13" w:rsidRDefault="14CBD302" w:rsidP="3DE9AD76">
      <w:pPr>
        <w:spacing w:line="360" w:lineRule="auto"/>
        <w:jc w:val="both"/>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NZ"/>
        </w:rPr>
        <w:t xml:space="preserve">Leadership: </w:t>
      </w:r>
      <w:r w:rsidRPr="3DE9AD76">
        <w:rPr>
          <w:rFonts w:ascii="Arial" w:eastAsia="Arial" w:hAnsi="Arial" w:cs="Arial"/>
          <w:color w:val="000000" w:themeColor="text1"/>
          <w:sz w:val="24"/>
          <w:szCs w:val="24"/>
          <w:lang w:val="en-NZ"/>
        </w:rPr>
        <w:t xml:space="preserve">reflecting the collective voice of disabled people, locally, </w:t>
      </w:r>
      <w:proofErr w:type="gramStart"/>
      <w:r w:rsidRPr="3DE9AD76">
        <w:rPr>
          <w:rFonts w:ascii="Arial" w:eastAsia="Arial" w:hAnsi="Arial" w:cs="Arial"/>
          <w:color w:val="000000" w:themeColor="text1"/>
          <w:sz w:val="24"/>
          <w:szCs w:val="24"/>
          <w:lang w:val="en-NZ"/>
        </w:rPr>
        <w:t>nationally</w:t>
      </w:r>
      <w:proofErr w:type="gramEnd"/>
      <w:r w:rsidRPr="3DE9AD76">
        <w:rPr>
          <w:rFonts w:ascii="Arial" w:eastAsia="Arial" w:hAnsi="Arial" w:cs="Arial"/>
          <w:color w:val="000000" w:themeColor="text1"/>
          <w:sz w:val="24"/>
          <w:szCs w:val="24"/>
          <w:lang w:val="en-NZ"/>
        </w:rPr>
        <w:t xml:space="preserve"> and internationally. </w:t>
      </w:r>
    </w:p>
    <w:p w14:paraId="20699B7B" w14:textId="739F8FB2" w:rsidR="003C0A13" w:rsidRDefault="14CBD302" w:rsidP="3DE9AD76">
      <w:pPr>
        <w:spacing w:line="360" w:lineRule="auto"/>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NZ"/>
        </w:rPr>
        <w:t xml:space="preserve">Information and advice: </w:t>
      </w:r>
      <w:r w:rsidRPr="3DE9AD76">
        <w:rPr>
          <w:rFonts w:ascii="Arial" w:eastAsia="Arial" w:hAnsi="Arial" w:cs="Arial"/>
          <w:color w:val="000000" w:themeColor="text1"/>
          <w:sz w:val="24"/>
          <w:szCs w:val="24"/>
          <w:lang w:val="en-NZ"/>
        </w:rPr>
        <w:t>informing and advising on policies impacting on the lives of disabled people.</w:t>
      </w:r>
    </w:p>
    <w:p w14:paraId="335DBCFA" w14:textId="6E9D2864" w:rsidR="003C0A13" w:rsidRDefault="14CBD302" w:rsidP="3DE9AD76">
      <w:pPr>
        <w:spacing w:line="360" w:lineRule="auto"/>
        <w:jc w:val="both"/>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NZ"/>
        </w:rPr>
        <w:t xml:space="preserve">Advocacy: </w:t>
      </w:r>
      <w:r w:rsidRPr="3DE9AD76">
        <w:rPr>
          <w:rFonts w:ascii="Arial" w:eastAsia="Arial" w:hAnsi="Arial" w:cs="Arial"/>
          <w:color w:val="000000" w:themeColor="text1"/>
          <w:sz w:val="24"/>
          <w:szCs w:val="24"/>
          <w:lang w:val="en-NZ"/>
        </w:rPr>
        <w:t>supporting disabled people to have a voice, including a collective voice, in society.</w:t>
      </w:r>
    </w:p>
    <w:p w14:paraId="79B8F367" w14:textId="160554D4" w:rsidR="003C0A13" w:rsidRDefault="14CBD302" w:rsidP="3DE9AD76">
      <w:pPr>
        <w:spacing w:line="360" w:lineRule="auto"/>
        <w:jc w:val="both"/>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NZ"/>
        </w:rPr>
        <w:t xml:space="preserve">Monitoring: </w:t>
      </w:r>
      <w:r w:rsidRPr="3DE9AD76">
        <w:rPr>
          <w:rFonts w:ascii="Arial" w:eastAsia="Arial" w:hAnsi="Arial" w:cs="Arial"/>
          <w:color w:val="000000" w:themeColor="text1"/>
          <w:sz w:val="24"/>
          <w:szCs w:val="24"/>
          <w:lang w:val="en-NZ"/>
        </w:rPr>
        <w:t xml:space="preserve">monitoring and giving feedback on existing laws, </w:t>
      </w:r>
      <w:proofErr w:type="gramStart"/>
      <w:r w:rsidRPr="3DE9AD76">
        <w:rPr>
          <w:rFonts w:ascii="Arial" w:eastAsia="Arial" w:hAnsi="Arial" w:cs="Arial"/>
          <w:color w:val="000000" w:themeColor="text1"/>
          <w:sz w:val="24"/>
          <w:szCs w:val="24"/>
          <w:lang w:val="en-NZ"/>
        </w:rPr>
        <w:t>policies</w:t>
      </w:r>
      <w:proofErr w:type="gramEnd"/>
      <w:r w:rsidRPr="3DE9AD76">
        <w:rPr>
          <w:rFonts w:ascii="Arial" w:eastAsia="Arial" w:hAnsi="Arial" w:cs="Arial"/>
          <w:color w:val="000000" w:themeColor="text1"/>
          <w:sz w:val="24"/>
          <w:szCs w:val="24"/>
          <w:lang w:val="en-NZ"/>
        </w:rPr>
        <w:t xml:space="preserve"> and practices about and relevant to disabled people.</w:t>
      </w:r>
    </w:p>
    <w:p w14:paraId="31F9C42C" w14:textId="77777777" w:rsidR="00416A33" w:rsidRDefault="00416A33" w:rsidP="3DE9AD76">
      <w:pPr>
        <w:pStyle w:val="Heading1"/>
        <w:spacing w:line="360" w:lineRule="auto"/>
        <w:ind w:left="-567" w:right="306"/>
        <w:rPr>
          <w:rFonts w:ascii="Arial" w:eastAsia="Arial" w:hAnsi="Arial" w:cs="Arial"/>
          <w:b/>
          <w:bCs/>
          <w:color w:val="002060"/>
          <w:sz w:val="36"/>
          <w:szCs w:val="36"/>
          <w:lang w:val="en-NZ"/>
        </w:rPr>
      </w:pPr>
      <w:r>
        <w:rPr>
          <w:rFonts w:ascii="Arial" w:eastAsia="Arial" w:hAnsi="Arial" w:cs="Arial"/>
          <w:b/>
          <w:bCs/>
          <w:color w:val="002060"/>
          <w:sz w:val="36"/>
          <w:szCs w:val="36"/>
          <w:lang w:val="en-NZ"/>
        </w:rPr>
        <w:br w:type="page"/>
      </w:r>
    </w:p>
    <w:p w14:paraId="0B0FDB61" w14:textId="457EF13E" w:rsidR="003C0A13" w:rsidRDefault="14CBD302" w:rsidP="3DE9AD76">
      <w:pPr>
        <w:pStyle w:val="Heading1"/>
        <w:spacing w:line="360" w:lineRule="auto"/>
        <w:ind w:left="-567" w:right="306"/>
        <w:rPr>
          <w:rFonts w:ascii="Arial" w:eastAsia="Arial" w:hAnsi="Arial" w:cs="Arial"/>
          <w:b/>
          <w:bCs/>
          <w:color w:val="002060"/>
          <w:sz w:val="36"/>
          <w:szCs w:val="36"/>
        </w:rPr>
      </w:pPr>
      <w:r w:rsidRPr="3DE9AD76">
        <w:rPr>
          <w:rFonts w:ascii="Arial" w:eastAsia="Arial" w:hAnsi="Arial" w:cs="Arial"/>
          <w:b/>
          <w:bCs/>
          <w:color w:val="002060"/>
          <w:sz w:val="36"/>
          <w:szCs w:val="36"/>
          <w:lang w:val="en-NZ"/>
        </w:rPr>
        <w:lastRenderedPageBreak/>
        <w:t xml:space="preserve">The submission </w:t>
      </w:r>
    </w:p>
    <w:p w14:paraId="53721690" w14:textId="03BEF4FF" w:rsidR="003C0A13" w:rsidRDefault="14CBD302"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 xml:space="preserve">DPA </w:t>
      </w:r>
      <w:r w:rsidR="568D1741" w:rsidRPr="1C714392">
        <w:rPr>
          <w:rStyle w:val="normaltextrun"/>
          <w:rFonts w:ascii="Arial" w:eastAsia="Arial" w:hAnsi="Arial" w:cs="Arial"/>
          <w:color w:val="000000" w:themeColor="text1"/>
          <w:sz w:val="24"/>
          <w:szCs w:val="24"/>
          <w:lang w:val="en-NZ"/>
        </w:rPr>
        <w:t xml:space="preserve">welcomes the opportunity to give feedback on </w:t>
      </w:r>
      <w:r w:rsidR="6C6877E5" w:rsidRPr="1C714392">
        <w:rPr>
          <w:rStyle w:val="normaltextrun"/>
          <w:rFonts w:ascii="Arial" w:eastAsia="Arial" w:hAnsi="Arial" w:cs="Arial"/>
          <w:color w:val="000000" w:themeColor="text1"/>
          <w:sz w:val="24"/>
          <w:szCs w:val="24"/>
          <w:lang w:val="en-NZ"/>
        </w:rPr>
        <w:t>the Accident Compensation Corporation’s (ACC’s) Annual Access Reporting Consultation paper.</w:t>
      </w:r>
    </w:p>
    <w:p w14:paraId="48AEF556" w14:textId="0C142108" w:rsidR="003C0A13" w:rsidRDefault="6C6877E5"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As this is being written, ACC is commemorating its 50</w:t>
      </w:r>
      <w:r w:rsidRPr="1C714392">
        <w:rPr>
          <w:rStyle w:val="normaltextrun"/>
          <w:rFonts w:ascii="Arial" w:eastAsia="Arial" w:hAnsi="Arial" w:cs="Arial"/>
          <w:color w:val="000000" w:themeColor="text1"/>
          <w:sz w:val="24"/>
          <w:szCs w:val="24"/>
          <w:vertAlign w:val="superscript"/>
          <w:lang w:val="en-NZ"/>
        </w:rPr>
        <w:t>th</w:t>
      </w:r>
      <w:r w:rsidRPr="1C714392">
        <w:rPr>
          <w:rStyle w:val="normaltextrun"/>
          <w:rFonts w:ascii="Arial" w:eastAsia="Arial" w:hAnsi="Arial" w:cs="Arial"/>
          <w:color w:val="000000" w:themeColor="text1"/>
          <w:sz w:val="24"/>
          <w:szCs w:val="24"/>
          <w:lang w:val="en-NZ"/>
        </w:rPr>
        <w:t xml:space="preserve"> anniversary as a world leading accident compensation scheme.</w:t>
      </w:r>
    </w:p>
    <w:p w14:paraId="082F2888" w14:textId="755CE70C" w:rsidR="003C0A13" w:rsidRDefault="6C6877E5"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DPA wishes to take this opportunity to congratulate ACC on reaching this milestone.</w:t>
      </w:r>
    </w:p>
    <w:p w14:paraId="7834C2B2" w14:textId="5879F16A" w:rsidR="003C0A13" w:rsidRDefault="617999F1" w:rsidP="7DC579ED">
      <w:pPr>
        <w:pStyle w:val="Heading1"/>
        <w:numPr>
          <w:ilvl w:val="0"/>
          <w:numId w:val="1"/>
        </w:numPr>
        <w:spacing w:line="276" w:lineRule="auto"/>
        <w:ind w:right="306"/>
        <w:rPr>
          <w:rFonts w:ascii="Arial" w:eastAsia="Arial" w:hAnsi="Arial" w:cs="Arial"/>
          <w:b/>
          <w:bCs/>
          <w:color w:val="002060"/>
          <w:sz w:val="28"/>
          <w:szCs w:val="28"/>
          <w:lang w:val="en-NZ"/>
        </w:rPr>
      </w:pPr>
      <w:r w:rsidRPr="7DC579ED">
        <w:rPr>
          <w:rFonts w:ascii="Arial" w:eastAsia="Arial" w:hAnsi="Arial" w:cs="Arial"/>
          <w:b/>
          <w:bCs/>
          <w:color w:val="002060"/>
          <w:sz w:val="28"/>
          <w:szCs w:val="28"/>
          <w:lang w:val="en-NZ"/>
        </w:rPr>
        <w:t xml:space="preserve">Inequities between ACC and Disability Support Services (DSS) clients create trust </w:t>
      </w:r>
      <w:proofErr w:type="gramStart"/>
      <w:r w:rsidRPr="7DC579ED">
        <w:rPr>
          <w:rFonts w:ascii="Arial" w:eastAsia="Arial" w:hAnsi="Arial" w:cs="Arial"/>
          <w:b/>
          <w:bCs/>
          <w:color w:val="002060"/>
          <w:sz w:val="28"/>
          <w:szCs w:val="28"/>
          <w:lang w:val="en-NZ"/>
        </w:rPr>
        <w:t>issues</w:t>
      </w:r>
      <w:proofErr w:type="gramEnd"/>
    </w:p>
    <w:p w14:paraId="3811D061" w14:textId="03C958DD" w:rsidR="003C0A13" w:rsidRDefault="69B24248"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Since 1974,</w:t>
      </w:r>
      <w:r w:rsidR="6C6877E5" w:rsidRPr="1C714392">
        <w:rPr>
          <w:rStyle w:val="normaltextrun"/>
          <w:rFonts w:ascii="Arial" w:eastAsia="Arial" w:hAnsi="Arial" w:cs="Arial"/>
          <w:color w:val="000000" w:themeColor="text1"/>
          <w:sz w:val="24"/>
          <w:szCs w:val="24"/>
          <w:lang w:val="en-NZ"/>
        </w:rPr>
        <w:t xml:space="preserve"> ACC as an organisation has been subjected to various changes which have seen either expansions or restrictions to </w:t>
      </w:r>
      <w:r w:rsidR="407725D5" w:rsidRPr="1C714392">
        <w:rPr>
          <w:rStyle w:val="normaltextrun"/>
          <w:rFonts w:ascii="Arial" w:eastAsia="Arial" w:hAnsi="Arial" w:cs="Arial"/>
          <w:color w:val="000000" w:themeColor="text1"/>
          <w:sz w:val="24"/>
          <w:szCs w:val="24"/>
          <w:lang w:val="en-NZ"/>
        </w:rPr>
        <w:t>cover</w:t>
      </w:r>
      <w:r w:rsidR="3926B568" w:rsidRPr="1C714392">
        <w:rPr>
          <w:rStyle w:val="normaltextrun"/>
          <w:rFonts w:ascii="Arial" w:eastAsia="Arial" w:hAnsi="Arial" w:cs="Arial"/>
          <w:color w:val="000000" w:themeColor="text1"/>
          <w:sz w:val="24"/>
          <w:szCs w:val="24"/>
          <w:lang w:val="en-NZ"/>
        </w:rPr>
        <w:t>age</w:t>
      </w:r>
      <w:r w:rsidR="407725D5" w:rsidRPr="1C714392">
        <w:rPr>
          <w:rStyle w:val="normaltextrun"/>
          <w:rFonts w:ascii="Arial" w:eastAsia="Arial" w:hAnsi="Arial" w:cs="Arial"/>
          <w:color w:val="000000" w:themeColor="text1"/>
          <w:sz w:val="24"/>
          <w:szCs w:val="24"/>
          <w:lang w:val="en-NZ"/>
        </w:rPr>
        <w:t xml:space="preserve"> being made by numerous governments.</w:t>
      </w:r>
    </w:p>
    <w:p w14:paraId="38C40773" w14:textId="7E67B663" w:rsidR="003C0A13" w:rsidRDefault="407725D5"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 xml:space="preserve">During the last half century, these changes have led to the growth of inequities between </w:t>
      </w:r>
      <w:r w:rsidR="4C1E523E" w:rsidRPr="1C714392">
        <w:rPr>
          <w:rStyle w:val="normaltextrun"/>
          <w:rFonts w:ascii="Arial" w:eastAsia="Arial" w:hAnsi="Arial" w:cs="Arial"/>
          <w:color w:val="000000" w:themeColor="text1"/>
          <w:sz w:val="24"/>
          <w:szCs w:val="24"/>
          <w:lang w:val="en-NZ"/>
        </w:rPr>
        <w:t>disabled people</w:t>
      </w:r>
      <w:r w:rsidR="5F51EEC6" w:rsidRPr="1C714392">
        <w:rPr>
          <w:rStyle w:val="normaltextrun"/>
          <w:rFonts w:ascii="Arial" w:eastAsia="Arial" w:hAnsi="Arial" w:cs="Arial"/>
          <w:color w:val="000000" w:themeColor="text1"/>
          <w:sz w:val="24"/>
          <w:szCs w:val="24"/>
          <w:lang w:val="en-NZ"/>
        </w:rPr>
        <w:t xml:space="preserve"> (mainly injured related)</w:t>
      </w:r>
      <w:r w:rsidR="4C1E523E" w:rsidRPr="1C714392">
        <w:rPr>
          <w:rStyle w:val="normaltextrun"/>
          <w:rFonts w:ascii="Arial" w:eastAsia="Arial" w:hAnsi="Arial" w:cs="Arial"/>
          <w:color w:val="000000" w:themeColor="text1"/>
          <w:sz w:val="24"/>
          <w:szCs w:val="24"/>
          <w:lang w:val="en-NZ"/>
        </w:rPr>
        <w:t xml:space="preserve"> covered by ACC and disabled people</w:t>
      </w:r>
      <w:r w:rsidR="0F5D3CF8" w:rsidRPr="1C714392">
        <w:rPr>
          <w:rStyle w:val="normaltextrun"/>
          <w:rFonts w:ascii="Arial" w:eastAsia="Arial" w:hAnsi="Arial" w:cs="Arial"/>
          <w:color w:val="000000" w:themeColor="text1"/>
          <w:sz w:val="24"/>
          <w:szCs w:val="24"/>
          <w:lang w:val="en-NZ"/>
        </w:rPr>
        <w:t xml:space="preserve"> (non-injury related)</w:t>
      </w:r>
      <w:r w:rsidR="4C1E523E" w:rsidRPr="1C714392">
        <w:rPr>
          <w:rStyle w:val="normaltextrun"/>
          <w:rFonts w:ascii="Arial" w:eastAsia="Arial" w:hAnsi="Arial" w:cs="Arial"/>
          <w:color w:val="000000" w:themeColor="text1"/>
          <w:sz w:val="24"/>
          <w:szCs w:val="24"/>
          <w:lang w:val="en-NZ"/>
        </w:rPr>
        <w:t xml:space="preserve"> covered by the Social Welfare, Ministry of Health and Whaikaha – Ministry of Disabled People Disability Support Services (DSS)</w:t>
      </w:r>
      <w:r w:rsidR="27723080" w:rsidRPr="1C714392">
        <w:rPr>
          <w:rStyle w:val="normaltextrun"/>
          <w:rFonts w:ascii="Arial" w:eastAsia="Arial" w:hAnsi="Arial" w:cs="Arial"/>
          <w:color w:val="000000" w:themeColor="text1"/>
          <w:sz w:val="24"/>
          <w:szCs w:val="24"/>
          <w:lang w:val="en-NZ"/>
        </w:rPr>
        <w:t xml:space="preserve"> systems respectively</w:t>
      </w:r>
      <w:r w:rsidR="4C1E523E" w:rsidRPr="1C714392">
        <w:rPr>
          <w:rStyle w:val="normaltextrun"/>
          <w:rFonts w:ascii="Arial" w:eastAsia="Arial" w:hAnsi="Arial" w:cs="Arial"/>
          <w:color w:val="000000" w:themeColor="text1"/>
          <w:sz w:val="24"/>
          <w:szCs w:val="24"/>
          <w:lang w:val="en-NZ"/>
        </w:rPr>
        <w:t>.</w:t>
      </w:r>
    </w:p>
    <w:p w14:paraId="1E9DA596" w14:textId="3F8CF949" w:rsidR="003C0A13" w:rsidRDefault="4C1E523E"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These inequities have seen disabled people covered by ACC receive comparatively better support than disabled people covered by non-ACC DSS system</w:t>
      </w:r>
      <w:r w:rsidR="5DCCAF62" w:rsidRPr="1C714392">
        <w:rPr>
          <w:rStyle w:val="normaltextrun"/>
          <w:rFonts w:ascii="Arial" w:eastAsia="Arial" w:hAnsi="Arial" w:cs="Arial"/>
          <w:color w:val="000000" w:themeColor="text1"/>
          <w:sz w:val="24"/>
          <w:szCs w:val="24"/>
          <w:lang w:val="en-NZ"/>
        </w:rPr>
        <w:t xml:space="preserve">s in terms of being able to access more timely </w:t>
      </w:r>
      <w:r w:rsidR="707C406C" w:rsidRPr="1C714392">
        <w:rPr>
          <w:rStyle w:val="normaltextrun"/>
          <w:rFonts w:ascii="Arial" w:eastAsia="Arial" w:hAnsi="Arial" w:cs="Arial"/>
          <w:color w:val="000000" w:themeColor="text1"/>
          <w:sz w:val="24"/>
          <w:szCs w:val="24"/>
          <w:lang w:val="en-NZ"/>
        </w:rPr>
        <w:t xml:space="preserve">comprehensive supports in terms of equipment, </w:t>
      </w:r>
      <w:proofErr w:type="gramStart"/>
      <w:r w:rsidR="707C406C" w:rsidRPr="1C714392">
        <w:rPr>
          <w:rStyle w:val="normaltextrun"/>
          <w:rFonts w:ascii="Arial" w:eastAsia="Arial" w:hAnsi="Arial" w:cs="Arial"/>
          <w:color w:val="000000" w:themeColor="text1"/>
          <w:sz w:val="24"/>
          <w:szCs w:val="24"/>
          <w:lang w:val="en-NZ"/>
        </w:rPr>
        <w:t>modifications</w:t>
      </w:r>
      <w:proofErr w:type="gramEnd"/>
      <w:r w:rsidR="707C406C" w:rsidRPr="1C714392">
        <w:rPr>
          <w:rStyle w:val="normaltextrun"/>
          <w:rFonts w:ascii="Arial" w:eastAsia="Arial" w:hAnsi="Arial" w:cs="Arial"/>
          <w:color w:val="000000" w:themeColor="text1"/>
          <w:sz w:val="24"/>
          <w:szCs w:val="24"/>
          <w:lang w:val="en-NZ"/>
        </w:rPr>
        <w:t xml:space="preserve"> and domestic/personal assistance as well as income-related compensation.</w:t>
      </w:r>
    </w:p>
    <w:p w14:paraId="5ED3E0FE" w14:textId="7B768DA1" w:rsidR="003C0A13" w:rsidRDefault="49008455"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b/>
          <w:bCs/>
          <w:color w:val="000000" w:themeColor="text1"/>
          <w:sz w:val="24"/>
          <w:szCs w:val="24"/>
          <w:lang w:val="en-NZ"/>
        </w:rPr>
        <w:t xml:space="preserve">These inequities have been </w:t>
      </w:r>
      <w:r w:rsidR="1EDFBE65" w:rsidRPr="1C714392">
        <w:rPr>
          <w:rStyle w:val="normaltextrun"/>
          <w:rFonts w:ascii="Arial" w:eastAsia="Arial" w:hAnsi="Arial" w:cs="Arial"/>
          <w:b/>
          <w:bCs/>
          <w:color w:val="000000" w:themeColor="text1"/>
          <w:sz w:val="24"/>
          <w:szCs w:val="24"/>
          <w:lang w:val="en-NZ"/>
        </w:rPr>
        <w:t>created</w:t>
      </w:r>
      <w:r w:rsidRPr="1C714392">
        <w:rPr>
          <w:rStyle w:val="normaltextrun"/>
          <w:rFonts w:ascii="Arial" w:eastAsia="Arial" w:hAnsi="Arial" w:cs="Arial"/>
          <w:b/>
          <w:bCs/>
          <w:color w:val="000000" w:themeColor="text1"/>
          <w:sz w:val="24"/>
          <w:szCs w:val="24"/>
          <w:lang w:val="en-NZ"/>
        </w:rPr>
        <w:t xml:space="preserve"> by </w:t>
      </w:r>
      <w:r w:rsidR="751645F4" w:rsidRPr="1C714392">
        <w:rPr>
          <w:rStyle w:val="normaltextrun"/>
          <w:rFonts w:ascii="Arial" w:eastAsia="Arial" w:hAnsi="Arial" w:cs="Arial"/>
          <w:b/>
          <w:bCs/>
          <w:color w:val="000000" w:themeColor="text1"/>
          <w:sz w:val="24"/>
          <w:szCs w:val="24"/>
          <w:lang w:val="en-NZ"/>
        </w:rPr>
        <w:t>dividing</w:t>
      </w:r>
      <w:r w:rsidR="4BD64672" w:rsidRPr="1C714392">
        <w:rPr>
          <w:rStyle w:val="normaltextrun"/>
          <w:rFonts w:ascii="Arial" w:eastAsia="Arial" w:hAnsi="Arial" w:cs="Arial"/>
          <w:b/>
          <w:bCs/>
          <w:color w:val="000000" w:themeColor="text1"/>
          <w:sz w:val="24"/>
          <w:szCs w:val="24"/>
          <w:lang w:val="en-NZ"/>
        </w:rPr>
        <w:t xml:space="preserve"> </w:t>
      </w:r>
      <w:r w:rsidR="7B7CDC58" w:rsidRPr="1C714392">
        <w:rPr>
          <w:rStyle w:val="normaltextrun"/>
          <w:rFonts w:ascii="Arial" w:eastAsia="Arial" w:hAnsi="Arial" w:cs="Arial"/>
          <w:b/>
          <w:bCs/>
          <w:color w:val="000000" w:themeColor="text1"/>
          <w:sz w:val="24"/>
          <w:szCs w:val="24"/>
          <w:lang w:val="en-NZ"/>
        </w:rPr>
        <w:t>New Zealand</w:t>
      </w:r>
      <w:r w:rsidR="4BD64672" w:rsidRPr="1C714392">
        <w:rPr>
          <w:rStyle w:val="normaltextrun"/>
          <w:rFonts w:ascii="Arial" w:eastAsia="Arial" w:hAnsi="Arial" w:cs="Arial"/>
          <w:b/>
          <w:bCs/>
          <w:color w:val="000000" w:themeColor="text1"/>
          <w:sz w:val="24"/>
          <w:szCs w:val="24"/>
          <w:lang w:val="en-NZ"/>
        </w:rPr>
        <w:t>’s disability support system</w:t>
      </w:r>
      <w:r w:rsidR="53E4866B" w:rsidRPr="1C714392">
        <w:rPr>
          <w:rStyle w:val="normaltextrun"/>
          <w:rFonts w:ascii="Arial" w:eastAsia="Arial" w:hAnsi="Arial" w:cs="Arial"/>
          <w:b/>
          <w:bCs/>
          <w:color w:val="000000" w:themeColor="text1"/>
          <w:sz w:val="24"/>
          <w:szCs w:val="24"/>
          <w:lang w:val="en-NZ"/>
        </w:rPr>
        <w:t xml:space="preserve"> in two</w:t>
      </w:r>
      <w:r w:rsidR="4BD64672" w:rsidRPr="1C714392">
        <w:rPr>
          <w:rStyle w:val="normaltextrun"/>
          <w:rFonts w:ascii="Arial" w:eastAsia="Arial" w:hAnsi="Arial" w:cs="Arial"/>
          <w:b/>
          <w:bCs/>
          <w:color w:val="000000" w:themeColor="text1"/>
          <w:sz w:val="24"/>
          <w:szCs w:val="24"/>
          <w:lang w:val="en-NZ"/>
        </w:rPr>
        <w:t xml:space="preserve"> </w:t>
      </w:r>
      <w:r w:rsidR="382FD263" w:rsidRPr="1C714392">
        <w:rPr>
          <w:rStyle w:val="normaltextrun"/>
          <w:rFonts w:ascii="Arial" w:eastAsia="Arial" w:hAnsi="Arial" w:cs="Arial"/>
          <w:b/>
          <w:bCs/>
          <w:color w:val="000000" w:themeColor="text1"/>
          <w:sz w:val="24"/>
          <w:szCs w:val="24"/>
          <w:lang w:val="en-NZ"/>
        </w:rPr>
        <w:t xml:space="preserve">by determining support on the </w:t>
      </w:r>
      <w:r w:rsidR="4BD64672" w:rsidRPr="1C714392">
        <w:rPr>
          <w:rStyle w:val="normaltextrun"/>
          <w:rFonts w:ascii="Arial" w:eastAsia="Arial" w:hAnsi="Arial" w:cs="Arial"/>
          <w:b/>
          <w:bCs/>
          <w:color w:val="000000" w:themeColor="text1"/>
          <w:sz w:val="24"/>
          <w:szCs w:val="24"/>
          <w:lang w:val="en-NZ"/>
        </w:rPr>
        <w:t>causation of</w:t>
      </w:r>
      <w:r w:rsidR="760F13A7" w:rsidRPr="1C714392">
        <w:rPr>
          <w:rStyle w:val="normaltextrun"/>
          <w:rFonts w:ascii="Arial" w:eastAsia="Arial" w:hAnsi="Arial" w:cs="Arial"/>
          <w:b/>
          <w:bCs/>
          <w:color w:val="000000" w:themeColor="text1"/>
          <w:sz w:val="24"/>
          <w:szCs w:val="24"/>
          <w:lang w:val="en-NZ"/>
        </w:rPr>
        <w:t xml:space="preserve"> </w:t>
      </w:r>
      <w:r w:rsidR="257F3DE6" w:rsidRPr="1C714392">
        <w:rPr>
          <w:rStyle w:val="normaltextrun"/>
          <w:rFonts w:ascii="Arial" w:eastAsia="Arial" w:hAnsi="Arial" w:cs="Arial"/>
          <w:b/>
          <w:bCs/>
          <w:color w:val="000000" w:themeColor="text1"/>
          <w:sz w:val="24"/>
          <w:szCs w:val="24"/>
          <w:lang w:val="en-NZ"/>
        </w:rPr>
        <w:t xml:space="preserve">a </w:t>
      </w:r>
      <w:r w:rsidR="760F13A7" w:rsidRPr="1C714392">
        <w:rPr>
          <w:rStyle w:val="normaltextrun"/>
          <w:rFonts w:ascii="Arial" w:eastAsia="Arial" w:hAnsi="Arial" w:cs="Arial"/>
          <w:b/>
          <w:bCs/>
          <w:color w:val="000000" w:themeColor="text1"/>
          <w:sz w:val="24"/>
          <w:szCs w:val="24"/>
          <w:lang w:val="en-NZ"/>
        </w:rPr>
        <w:t>person’s</w:t>
      </w:r>
      <w:r w:rsidR="4BD64672" w:rsidRPr="1C714392">
        <w:rPr>
          <w:rStyle w:val="normaltextrun"/>
          <w:rFonts w:ascii="Arial" w:eastAsia="Arial" w:hAnsi="Arial" w:cs="Arial"/>
          <w:b/>
          <w:bCs/>
          <w:color w:val="000000" w:themeColor="text1"/>
          <w:sz w:val="24"/>
          <w:szCs w:val="24"/>
          <w:lang w:val="en-NZ"/>
        </w:rPr>
        <w:t xml:space="preserve"> disability</w:t>
      </w:r>
      <w:r w:rsidR="571E0D32" w:rsidRPr="1C714392">
        <w:rPr>
          <w:rStyle w:val="normaltextrun"/>
          <w:rFonts w:ascii="Arial" w:eastAsia="Arial" w:hAnsi="Arial" w:cs="Arial"/>
          <w:b/>
          <w:bCs/>
          <w:color w:val="000000" w:themeColor="text1"/>
          <w:sz w:val="24"/>
          <w:szCs w:val="24"/>
          <w:lang w:val="en-NZ"/>
        </w:rPr>
        <w:t>/impairment</w:t>
      </w:r>
      <w:r w:rsidR="4BD64672" w:rsidRPr="1C714392">
        <w:rPr>
          <w:rStyle w:val="normaltextrun"/>
          <w:rFonts w:ascii="Arial" w:eastAsia="Arial" w:hAnsi="Arial" w:cs="Arial"/>
          <w:b/>
          <w:bCs/>
          <w:color w:val="000000" w:themeColor="text1"/>
          <w:sz w:val="24"/>
          <w:szCs w:val="24"/>
          <w:lang w:val="en-NZ"/>
        </w:rPr>
        <w:t>.</w:t>
      </w:r>
    </w:p>
    <w:p w14:paraId="183951A1" w14:textId="035F337E" w:rsidR="003C0A13" w:rsidRDefault="500A5FD3" w:rsidP="1C714392">
      <w:pPr>
        <w:spacing w:line="360" w:lineRule="auto"/>
        <w:rPr>
          <w:rStyle w:val="normaltextrun"/>
          <w:rFonts w:ascii="Arial" w:eastAsia="Arial" w:hAnsi="Arial" w:cs="Arial"/>
          <w:b/>
          <w:bCs/>
          <w:color w:val="000000" w:themeColor="text1"/>
          <w:sz w:val="24"/>
          <w:szCs w:val="24"/>
          <w:lang w:val="en-NZ"/>
        </w:rPr>
      </w:pPr>
      <w:r w:rsidRPr="79448C07">
        <w:rPr>
          <w:rStyle w:val="normaltextrun"/>
          <w:rFonts w:ascii="Arial" w:eastAsia="Arial" w:hAnsi="Arial" w:cs="Arial"/>
          <w:b/>
          <w:bCs/>
          <w:color w:val="000000" w:themeColor="text1"/>
          <w:sz w:val="24"/>
          <w:szCs w:val="24"/>
          <w:lang w:val="en-NZ"/>
        </w:rPr>
        <w:t xml:space="preserve">While DPA </w:t>
      </w:r>
      <w:r w:rsidR="5D84A396" w:rsidRPr="79448C07">
        <w:rPr>
          <w:rStyle w:val="normaltextrun"/>
          <w:rFonts w:ascii="Arial" w:eastAsia="Arial" w:hAnsi="Arial" w:cs="Arial"/>
          <w:b/>
          <w:bCs/>
          <w:color w:val="000000" w:themeColor="text1"/>
          <w:sz w:val="24"/>
          <w:szCs w:val="24"/>
          <w:lang w:val="en-NZ"/>
        </w:rPr>
        <w:t>supported the legislation which created the new</w:t>
      </w:r>
      <w:r w:rsidR="4BB8553E" w:rsidRPr="79448C07">
        <w:rPr>
          <w:rStyle w:val="normaltextrun"/>
          <w:rFonts w:ascii="Arial" w:eastAsia="Arial" w:hAnsi="Arial" w:cs="Arial"/>
          <w:b/>
          <w:bCs/>
          <w:color w:val="000000" w:themeColor="text1"/>
          <w:sz w:val="24"/>
          <w:szCs w:val="24"/>
          <w:lang w:val="en-NZ"/>
        </w:rPr>
        <w:t xml:space="preserve"> ACC</w:t>
      </w:r>
      <w:r w:rsidR="5D84A396" w:rsidRPr="79448C07">
        <w:rPr>
          <w:rStyle w:val="normaltextrun"/>
          <w:rFonts w:ascii="Arial" w:eastAsia="Arial" w:hAnsi="Arial" w:cs="Arial"/>
          <w:b/>
          <w:bCs/>
          <w:color w:val="000000" w:themeColor="text1"/>
          <w:sz w:val="24"/>
          <w:szCs w:val="24"/>
          <w:lang w:val="en-NZ"/>
        </w:rPr>
        <w:t xml:space="preserve"> reporting requirements</w:t>
      </w:r>
      <w:r w:rsidR="2872836E" w:rsidRPr="79448C07">
        <w:rPr>
          <w:rStyle w:val="normaltextrun"/>
          <w:rFonts w:ascii="Arial" w:eastAsia="Arial" w:hAnsi="Arial" w:cs="Arial"/>
          <w:b/>
          <w:bCs/>
          <w:color w:val="000000" w:themeColor="text1"/>
          <w:sz w:val="24"/>
          <w:szCs w:val="24"/>
          <w:lang w:val="en-NZ"/>
        </w:rPr>
        <w:t>,</w:t>
      </w:r>
      <w:r w:rsidR="5D84A396" w:rsidRPr="79448C07">
        <w:rPr>
          <w:rStyle w:val="normaltextrun"/>
          <w:rFonts w:ascii="Arial" w:eastAsia="Arial" w:hAnsi="Arial" w:cs="Arial"/>
          <w:b/>
          <w:bCs/>
          <w:color w:val="000000" w:themeColor="text1"/>
          <w:sz w:val="24"/>
          <w:szCs w:val="24"/>
          <w:lang w:val="en-NZ"/>
        </w:rPr>
        <w:t xml:space="preserve"> we</w:t>
      </w:r>
      <w:r w:rsidR="1C07D473" w:rsidRPr="79448C07">
        <w:rPr>
          <w:rStyle w:val="normaltextrun"/>
          <w:rFonts w:ascii="Arial" w:eastAsia="Arial" w:hAnsi="Arial" w:cs="Arial"/>
          <w:b/>
          <w:bCs/>
          <w:color w:val="000000" w:themeColor="text1"/>
          <w:sz w:val="24"/>
          <w:szCs w:val="24"/>
          <w:lang w:val="en-NZ"/>
        </w:rPr>
        <w:t xml:space="preserve"> believe that the</w:t>
      </w:r>
      <w:r w:rsidR="0E9A04C6" w:rsidRPr="79448C07">
        <w:rPr>
          <w:rStyle w:val="normaltextrun"/>
          <w:rFonts w:ascii="Arial" w:eastAsia="Arial" w:hAnsi="Arial" w:cs="Arial"/>
          <w:b/>
          <w:bCs/>
          <w:color w:val="000000" w:themeColor="text1"/>
          <w:sz w:val="24"/>
          <w:szCs w:val="24"/>
          <w:lang w:val="en-NZ"/>
        </w:rPr>
        <w:t xml:space="preserve"> historical</w:t>
      </w:r>
      <w:r w:rsidR="1C07D473" w:rsidRPr="79448C07">
        <w:rPr>
          <w:rStyle w:val="normaltextrun"/>
          <w:rFonts w:ascii="Arial" w:eastAsia="Arial" w:hAnsi="Arial" w:cs="Arial"/>
          <w:b/>
          <w:bCs/>
          <w:color w:val="000000" w:themeColor="text1"/>
          <w:sz w:val="24"/>
          <w:szCs w:val="24"/>
          <w:lang w:val="en-NZ"/>
        </w:rPr>
        <w:t xml:space="preserve"> inequities inherent in the</w:t>
      </w:r>
      <w:r w:rsidR="04157638" w:rsidRPr="79448C07">
        <w:rPr>
          <w:rStyle w:val="normaltextrun"/>
          <w:rFonts w:ascii="Arial" w:eastAsia="Arial" w:hAnsi="Arial" w:cs="Arial"/>
          <w:b/>
          <w:bCs/>
          <w:color w:val="000000" w:themeColor="text1"/>
          <w:sz w:val="24"/>
          <w:szCs w:val="24"/>
          <w:lang w:val="en-NZ"/>
        </w:rPr>
        <w:t xml:space="preserve"> two-tiered DSS</w:t>
      </w:r>
      <w:r w:rsidR="1C07D473" w:rsidRPr="79448C07">
        <w:rPr>
          <w:rStyle w:val="normaltextrun"/>
          <w:rFonts w:ascii="Arial" w:eastAsia="Arial" w:hAnsi="Arial" w:cs="Arial"/>
          <w:b/>
          <w:bCs/>
          <w:color w:val="000000" w:themeColor="text1"/>
          <w:sz w:val="24"/>
          <w:szCs w:val="24"/>
          <w:lang w:val="en-NZ"/>
        </w:rPr>
        <w:t xml:space="preserve"> system are why disabled people</w:t>
      </w:r>
      <w:r w:rsidR="130D9DBF" w:rsidRPr="79448C07">
        <w:rPr>
          <w:rStyle w:val="normaltextrun"/>
          <w:rFonts w:ascii="Arial" w:eastAsia="Arial" w:hAnsi="Arial" w:cs="Arial"/>
          <w:b/>
          <w:bCs/>
          <w:color w:val="000000" w:themeColor="text1"/>
          <w:sz w:val="24"/>
          <w:szCs w:val="24"/>
          <w:lang w:val="en-NZ"/>
        </w:rPr>
        <w:t xml:space="preserve"> -</w:t>
      </w:r>
      <w:r w:rsidR="1C07D473" w:rsidRPr="79448C07">
        <w:rPr>
          <w:rStyle w:val="normaltextrun"/>
          <w:rFonts w:ascii="Arial" w:eastAsia="Arial" w:hAnsi="Arial" w:cs="Arial"/>
          <w:b/>
          <w:bCs/>
          <w:color w:val="000000" w:themeColor="text1"/>
          <w:sz w:val="24"/>
          <w:szCs w:val="24"/>
          <w:lang w:val="en-NZ"/>
        </w:rPr>
        <w:t xml:space="preserve"> particularly those</w:t>
      </w:r>
      <w:r w:rsidR="4669DB38" w:rsidRPr="79448C07">
        <w:rPr>
          <w:rStyle w:val="normaltextrun"/>
          <w:rFonts w:ascii="Arial" w:eastAsia="Arial" w:hAnsi="Arial" w:cs="Arial"/>
          <w:b/>
          <w:bCs/>
          <w:color w:val="000000" w:themeColor="text1"/>
          <w:sz w:val="24"/>
          <w:szCs w:val="24"/>
          <w:lang w:val="en-NZ"/>
        </w:rPr>
        <w:t xml:space="preserve"> born or injured before the inception of the scheme </w:t>
      </w:r>
      <w:proofErr w:type="gramStart"/>
      <w:r w:rsidR="4669DB38" w:rsidRPr="79448C07">
        <w:rPr>
          <w:rStyle w:val="normaltextrun"/>
          <w:rFonts w:ascii="Arial" w:eastAsia="Arial" w:hAnsi="Arial" w:cs="Arial"/>
          <w:b/>
          <w:bCs/>
          <w:color w:val="000000" w:themeColor="text1"/>
          <w:sz w:val="24"/>
          <w:szCs w:val="24"/>
          <w:lang w:val="en-NZ"/>
        </w:rPr>
        <w:t>and</w:t>
      </w:r>
      <w:r w:rsidR="3753C27D" w:rsidRPr="79448C07">
        <w:rPr>
          <w:rStyle w:val="normaltextrun"/>
          <w:rFonts w:ascii="Arial" w:eastAsia="Arial" w:hAnsi="Arial" w:cs="Arial"/>
          <w:b/>
          <w:bCs/>
          <w:color w:val="000000" w:themeColor="text1"/>
          <w:sz w:val="24"/>
          <w:szCs w:val="24"/>
          <w:lang w:val="en-NZ"/>
        </w:rPr>
        <w:t xml:space="preserve"> also</w:t>
      </w:r>
      <w:proofErr w:type="gramEnd"/>
      <w:r w:rsidR="4669DB38" w:rsidRPr="79448C07">
        <w:rPr>
          <w:rStyle w:val="normaltextrun"/>
          <w:rFonts w:ascii="Arial" w:eastAsia="Arial" w:hAnsi="Arial" w:cs="Arial"/>
          <w:b/>
          <w:bCs/>
          <w:color w:val="000000" w:themeColor="text1"/>
          <w:sz w:val="24"/>
          <w:szCs w:val="24"/>
          <w:lang w:val="en-NZ"/>
        </w:rPr>
        <w:t xml:space="preserve"> disabled people deemed not </w:t>
      </w:r>
      <w:r w:rsidR="3EA4615F" w:rsidRPr="79448C07">
        <w:rPr>
          <w:rStyle w:val="normaltextrun"/>
          <w:rFonts w:ascii="Arial" w:eastAsia="Arial" w:hAnsi="Arial" w:cs="Arial"/>
          <w:b/>
          <w:bCs/>
          <w:color w:val="000000" w:themeColor="text1"/>
          <w:sz w:val="24"/>
          <w:szCs w:val="24"/>
          <w:lang w:val="en-NZ"/>
        </w:rPr>
        <w:t xml:space="preserve">to </w:t>
      </w:r>
      <w:r w:rsidR="4669DB38" w:rsidRPr="79448C07">
        <w:rPr>
          <w:rStyle w:val="normaltextrun"/>
          <w:rFonts w:ascii="Arial" w:eastAsia="Arial" w:hAnsi="Arial" w:cs="Arial"/>
          <w:b/>
          <w:bCs/>
          <w:color w:val="000000" w:themeColor="text1"/>
          <w:sz w:val="24"/>
          <w:szCs w:val="24"/>
          <w:lang w:val="en-NZ"/>
        </w:rPr>
        <w:t>have accidentally caused impairments</w:t>
      </w:r>
      <w:r w:rsidR="3D97B68E" w:rsidRPr="79448C07">
        <w:rPr>
          <w:rStyle w:val="normaltextrun"/>
          <w:rFonts w:ascii="Arial" w:eastAsia="Arial" w:hAnsi="Arial" w:cs="Arial"/>
          <w:b/>
          <w:bCs/>
          <w:color w:val="000000" w:themeColor="text1"/>
          <w:sz w:val="24"/>
          <w:szCs w:val="24"/>
          <w:lang w:val="en-NZ"/>
        </w:rPr>
        <w:t xml:space="preserve"> -</w:t>
      </w:r>
      <w:r w:rsidR="4669DB38" w:rsidRPr="79448C07">
        <w:rPr>
          <w:rStyle w:val="normaltextrun"/>
          <w:rFonts w:ascii="Arial" w:eastAsia="Arial" w:hAnsi="Arial" w:cs="Arial"/>
          <w:b/>
          <w:bCs/>
          <w:color w:val="000000" w:themeColor="text1"/>
          <w:sz w:val="24"/>
          <w:szCs w:val="24"/>
          <w:lang w:val="en-NZ"/>
        </w:rPr>
        <w:t xml:space="preserve"> are denied </w:t>
      </w:r>
      <w:r w:rsidR="25BC4DD1" w:rsidRPr="79448C07">
        <w:rPr>
          <w:rStyle w:val="normaltextrun"/>
          <w:rFonts w:ascii="Arial" w:eastAsia="Arial" w:hAnsi="Arial" w:cs="Arial"/>
          <w:b/>
          <w:bCs/>
          <w:color w:val="000000" w:themeColor="text1"/>
          <w:sz w:val="24"/>
          <w:szCs w:val="24"/>
          <w:lang w:val="en-NZ"/>
        </w:rPr>
        <w:t>ACC cover.</w:t>
      </w:r>
    </w:p>
    <w:p w14:paraId="21E9A590" w14:textId="2F4C15B1" w:rsidR="003C0A13" w:rsidRDefault="7BF1F468"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lastRenderedPageBreak/>
        <w:t>Some</w:t>
      </w:r>
      <w:r w:rsidR="25BC4DD1" w:rsidRPr="1C714392">
        <w:rPr>
          <w:rStyle w:val="normaltextrun"/>
          <w:rFonts w:ascii="Arial" w:eastAsia="Arial" w:hAnsi="Arial" w:cs="Arial"/>
          <w:color w:val="000000" w:themeColor="text1"/>
          <w:sz w:val="24"/>
          <w:szCs w:val="24"/>
          <w:lang w:val="en-NZ"/>
        </w:rPr>
        <w:t xml:space="preserve"> of the most glaring examples of th</w:t>
      </w:r>
      <w:r w:rsidR="187A08F9" w:rsidRPr="1C714392">
        <w:rPr>
          <w:rStyle w:val="normaltextrun"/>
          <w:rFonts w:ascii="Arial" w:eastAsia="Arial" w:hAnsi="Arial" w:cs="Arial"/>
          <w:color w:val="000000" w:themeColor="text1"/>
          <w:sz w:val="24"/>
          <w:szCs w:val="24"/>
          <w:lang w:val="en-NZ"/>
        </w:rPr>
        <w:t>ese inequities</w:t>
      </w:r>
      <w:r w:rsidR="25BC4DD1" w:rsidRPr="1C714392">
        <w:rPr>
          <w:rStyle w:val="normaltextrun"/>
          <w:rFonts w:ascii="Arial" w:eastAsia="Arial" w:hAnsi="Arial" w:cs="Arial"/>
          <w:color w:val="000000" w:themeColor="text1"/>
          <w:sz w:val="24"/>
          <w:szCs w:val="24"/>
          <w:lang w:val="en-NZ"/>
        </w:rPr>
        <w:t xml:space="preserve"> </w:t>
      </w:r>
      <w:r w:rsidR="2980AED2" w:rsidRPr="1C714392">
        <w:rPr>
          <w:rStyle w:val="normaltextrun"/>
          <w:rFonts w:ascii="Arial" w:eastAsia="Arial" w:hAnsi="Arial" w:cs="Arial"/>
          <w:color w:val="000000" w:themeColor="text1"/>
          <w:sz w:val="24"/>
          <w:szCs w:val="24"/>
          <w:lang w:val="en-NZ"/>
        </w:rPr>
        <w:t>was</w:t>
      </w:r>
      <w:r w:rsidR="25BC4DD1" w:rsidRPr="1C714392">
        <w:rPr>
          <w:rStyle w:val="normaltextrun"/>
          <w:rFonts w:ascii="Arial" w:eastAsia="Arial" w:hAnsi="Arial" w:cs="Arial"/>
          <w:color w:val="000000" w:themeColor="text1"/>
          <w:sz w:val="24"/>
          <w:szCs w:val="24"/>
          <w:lang w:val="en-NZ"/>
        </w:rPr>
        <w:t xml:space="preserve"> highlighted in </w:t>
      </w:r>
      <w:r w:rsidR="2281E612" w:rsidRPr="1C714392">
        <w:rPr>
          <w:rStyle w:val="normaltextrun"/>
          <w:rFonts w:ascii="Arial" w:eastAsia="Arial" w:hAnsi="Arial" w:cs="Arial"/>
          <w:color w:val="000000" w:themeColor="text1"/>
          <w:sz w:val="24"/>
          <w:szCs w:val="24"/>
          <w:lang w:val="en-NZ"/>
        </w:rPr>
        <w:t>Warren Forster’s</w:t>
      </w:r>
      <w:r w:rsidR="25BC4DD1" w:rsidRPr="1C714392">
        <w:rPr>
          <w:rStyle w:val="normaltextrun"/>
          <w:rFonts w:ascii="Arial" w:eastAsia="Arial" w:hAnsi="Arial" w:cs="Arial"/>
          <w:color w:val="000000" w:themeColor="text1"/>
          <w:sz w:val="24"/>
          <w:szCs w:val="24"/>
          <w:lang w:val="en-NZ"/>
        </w:rPr>
        <w:t xml:space="preserve"> “Removing Disabling Experiences: a vision for the future of our people</w:t>
      </w:r>
      <w:r w:rsidR="1C9F81D0" w:rsidRPr="1C714392">
        <w:rPr>
          <w:rStyle w:val="normaltextrun"/>
          <w:rFonts w:ascii="Arial" w:eastAsia="Arial" w:hAnsi="Arial" w:cs="Arial"/>
          <w:color w:val="000000" w:themeColor="text1"/>
          <w:sz w:val="24"/>
          <w:szCs w:val="24"/>
          <w:lang w:val="en-NZ"/>
        </w:rPr>
        <w:t>” (2022) report.</w:t>
      </w:r>
      <w:r w:rsidR="003C0A13" w:rsidRPr="1C714392">
        <w:rPr>
          <w:rStyle w:val="FootnoteReference"/>
          <w:rFonts w:ascii="Arial" w:eastAsia="Arial" w:hAnsi="Arial" w:cs="Arial"/>
          <w:color w:val="000000" w:themeColor="text1"/>
          <w:sz w:val="24"/>
          <w:szCs w:val="24"/>
          <w:lang w:val="en-NZ"/>
        </w:rPr>
        <w:footnoteReference w:id="2"/>
      </w:r>
    </w:p>
    <w:p w14:paraId="1677E5C4" w14:textId="2B03D82C" w:rsidR="003C0A13" w:rsidRDefault="02588ACD"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 xml:space="preserve">These examples include </w:t>
      </w:r>
      <w:r w:rsidR="5B7063D8" w:rsidRPr="1C714392">
        <w:rPr>
          <w:rStyle w:val="normaltextrun"/>
          <w:rFonts w:ascii="Arial" w:eastAsia="Arial" w:hAnsi="Arial" w:cs="Arial"/>
          <w:color w:val="000000" w:themeColor="text1"/>
          <w:sz w:val="24"/>
          <w:szCs w:val="24"/>
          <w:lang w:val="en-NZ"/>
        </w:rPr>
        <w:t xml:space="preserve">that people who become blind through accidents are given </w:t>
      </w:r>
      <w:r w:rsidR="41992786" w:rsidRPr="1C714392">
        <w:rPr>
          <w:rStyle w:val="normaltextrun"/>
          <w:rFonts w:ascii="Arial" w:eastAsia="Arial" w:hAnsi="Arial" w:cs="Arial"/>
          <w:color w:val="000000" w:themeColor="text1"/>
          <w:sz w:val="24"/>
          <w:szCs w:val="24"/>
          <w:lang w:val="en-NZ"/>
        </w:rPr>
        <w:t>financial compensation</w:t>
      </w:r>
      <w:r w:rsidR="5B7063D8" w:rsidRPr="1C714392">
        <w:rPr>
          <w:rStyle w:val="normaltextrun"/>
          <w:rFonts w:ascii="Arial" w:eastAsia="Arial" w:hAnsi="Arial" w:cs="Arial"/>
          <w:color w:val="000000" w:themeColor="text1"/>
          <w:sz w:val="24"/>
          <w:szCs w:val="24"/>
          <w:lang w:val="en-NZ"/>
        </w:rPr>
        <w:t xml:space="preserve"> and rehabilitation to assist recovery whereas pe</w:t>
      </w:r>
      <w:r w:rsidR="3AC2D671" w:rsidRPr="1C714392">
        <w:rPr>
          <w:rStyle w:val="normaltextrun"/>
          <w:rFonts w:ascii="Arial" w:eastAsia="Arial" w:hAnsi="Arial" w:cs="Arial"/>
          <w:color w:val="000000" w:themeColor="text1"/>
          <w:sz w:val="24"/>
          <w:szCs w:val="24"/>
          <w:lang w:val="en-NZ"/>
        </w:rPr>
        <w:t>ople who are born blind</w:t>
      </w:r>
      <w:r w:rsidR="0D3ECB4B" w:rsidRPr="1C714392">
        <w:rPr>
          <w:rStyle w:val="normaltextrun"/>
          <w:rFonts w:ascii="Arial" w:eastAsia="Arial" w:hAnsi="Arial" w:cs="Arial"/>
          <w:color w:val="000000" w:themeColor="text1"/>
          <w:sz w:val="24"/>
          <w:szCs w:val="24"/>
          <w:lang w:val="en-NZ"/>
        </w:rPr>
        <w:t xml:space="preserve"> are not given the same level of support.</w:t>
      </w:r>
    </w:p>
    <w:p w14:paraId="0325C4DA" w14:textId="55A37163" w:rsidR="003C0A13" w:rsidRDefault="578F8768"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 xml:space="preserve">Both these and other </w:t>
      </w:r>
      <w:r w:rsidR="2FB0D979" w:rsidRPr="1C714392">
        <w:rPr>
          <w:rStyle w:val="normaltextrun"/>
          <w:rFonts w:ascii="Arial" w:eastAsia="Arial" w:hAnsi="Arial" w:cs="Arial"/>
          <w:color w:val="000000" w:themeColor="text1"/>
          <w:sz w:val="24"/>
          <w:szCs w:val="24"/>
          <w:lang w:val="en-NZ"/>
        </w:rPr>
        <w:t>discrepancies including the legal fine lines which can see</w:t>
      </w:r>
      <w:r w:rsidR="6057C24D" w:rsidRPr="1C714392">
        <w:rPr>
          <w:rStyle w:val="normaltextrun"/>
          <w:rFonts w:ascii="Arial" w:eastAsia="Arial" w:hAnsi="Arial" w:cs="Arial"/>
          <w:color w:val="000000" w:themeColor="text1"/>
          <w:sz w:val="24"/>
          <w:szCs w:val="24"/>
          <w:lang w:val="en-NZ"/>
        </w:rPr>
        <w:t>, for example,</w:t>
      </w:r>
      <w:r w:rsidR="2FB0D979" w:rsidRPr="1C714392">
        <w:rPr>
          <w:rStyle w:val="normaltextrun"/>
          <w:rFonts w:ascii="Arial" w:eastAsia="Arial" w:hAnsi="Arial" w:cs="Arial"/>
          <w:color w:val="000000" w:themeColor="text1"/>
          <w:sz w:val="24"/>
          <w:szCs w:val="24"/>
          <w:lang w:val="en-NZ"/>
        </w:rPr>
        <w:t xml:space="preserve"> babies born with head injuries denied </w:t>
      </w:r>
      <w:r w:rsidR="2795415E" w:rsidRPr="1C714392">
        <w:rPr>
          <w:rStyle w:val="normaltextrun"/>
          <w:rFonts w:ascii="Arial" w:eastAsia="Arial" w:hAnsi="Arial" w:cs="Arial"/>
          <w:color w:val="000000" w:themeColor="text1"/>
          <w:sz w:val="24"/>
          <w:szCs w:val="24"/>
          <w:lang w:val="en-NZ"/>
        </w:rPr>
        <w:t xml:space="preserve">ACC cover when specialists determine that </w:t>
      </w:r>
      <w:r w:rsidR="4DA83143" w:rsidRPr="1C714392">
        <w:rPr>
          <w:rStyle w:val="normaltextrun"/>
          <w:rFonts w:ascii="Arial" w:eastAsia="Arial" w:hAnsi="Arial" w:cs="Arial"/>
          <w:color w:val="000000" w:themeColor="text1"/>
          <w:sz w:val="24"/>
          <w:szCs w:val="24"/>
          <w:lang w:val="en-NZ"/>
        </w:rPr>
        <w:t>a child’s impairment was present at birth and not caused by the birthing process</w:t>
      </w:r>
      <w:r w:rsidR="2292B929" w:rsidRPr="1C714392">
        <w:rPr>
          <w:rStyle w:val="normaltextrun"/>
          <w:rFonts w:ascii="Arial" w:eastAsia="Arial" w:hAnsi="Arial" w:cs="Arial"/>
          <w:color w:val="000000" w:themeColor="text1"/>
          <w:sz w:val="24"/>
          <w:szCs w:val="24"/>
          <w:lang w:val="en-NZ"/>
        </w:rPr>
        <w:t xml:space="preserve"> itself can cause massive</w:t>
      </w:r>
      <w:r w:rsidR="0D1EA955" w:rsidRPr="1C714392">
        <w:rPr>
          <w:rStyle w:val="normaltextrun"/>
          <w:rFonts w:ascii="Arial" w:eastAsia="Arial" w:hAnsi="Arial" w:cs="Arial"/>
          <w:color w:val="000000" w:themeColor="text1"/>
          <w:sz w:val="24"/>
          <w:szCs w:val="24"/>
          <w:lang w:val="en-NZ"/>
        </w:rPr>
        <w:t>, costly</w:t>
      </w:r>
      <w:r w:rsidR="2292B929" w:rsidRPr="1C714392">
        <w:rPr>
          <w:rStyle w:val="normaltextrun"/>
          <w:rFonts w:ascii="Arial" w:eastAsia="Arial" w:hAnsi="Arial" w:cs="Arial"/>
          <w:color w:val="000000" w:themeColor="text1"/>
          <w:sz w:val="24"/>
          <w:szCs w:val="24"/>
          <w:lang w:val="en-NZ"/>
        </w:rPr>
        <w:t xml:space="preserve"> legal battles for families/whānau and disabled people alike.</w:t>
      </w:r>
    </w:p>
    <w:p w14:paraId="5A9210CC" w14:textId="10E14221" w:rsidR="003C0A13" w:rsidRDefault="5BCD064A"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 xml:space="preserve">ACC cover can </w:t>
      </w:r>
      <w:r w:rsidR="6AC8489F" w:rsidRPr="1C714392">
        <w:rPr>
          <w:rStyle w:val="normaltextrun"/>
          <w:rFonts w:ascii="Arial" w:eastAsia="Arial" w:hAnsi="Arial" w:cs="Arial"/>
          <w:color w:val="000000" w:themeColor="text1"/>
          <w:sz w:val="24"/>
          <w:szCs w:val="24"/>
          <w:lang w:val="en-NZ"/>
        </w:rPr>
        <w:t xml:space="preserve">also </w:t>
      </w:r>
      <w:r w:rsidRPr="1C714392">
        <w:rPr>
          <w:rStyle w:val="normaltextrun"/>
          <w:rFonts w:ascii="Arial" w:eastAsia="Arial" w:hAnsi="Arial" w:cs="Arial"/>
          <w:color w:val="000000" w:themeColor="text1"/>
          <w:sz w:val="24"/>
          <w:szCs w:val="24"/>
          <w:lang w:val="en-NZ"/>
        </w:rPr>
        <w:t>be denied to people with birth-related impairments who acquire, for example, workplace related injuries including Occupational Over</w:t>
      </w:r>
      <w:r w:rsidR="735DC7B0" w:rsidRPr="1C714392">
        <w:rPr>
          <w:rStyle w:val="normaltextrun"/>
          <w:rFonts w:ascii="Arial" w:eastAsia="Arial" w:hAnsi="Arial" w:cs="Arial"/>
          <w:color w:val="000000" w:themeColor="text1"/>
          <w:sz w:val="24"/>
          <w:szCs w:val="24"/>
          <w:lang w:val="en-NZ"/>
        </w:rPr>
        <w:t>use Syndrome (OOS) as assessors acting on the Corporation’s behalf can argue that natural deterioration due to a person’s pre-existing impairment, for example</w:t>
      </w:r>
      <w:r w:rsidR="79C45E14" w:rsidRPr="1C714392">
        <w:rPr>
          <w:rStyle w:val="normaltextrun"/>
          <w:rFonts w:ascii="Arial" w:eastAsia="Arial" w:hAnsi="Arial" w:cs="Arial"/>
          <w:color w:val="000000" w:themeColor="text1"/>
          <w:sz w:val="24"/>
          <w:szCs w:val="24"/>
          <w:lang w:val="en-NZ"/>
        </w:rPr>
        <w:t>, Cerebral Palsy</w:t>
      </w:r>
      <w:r w:rsidR="6F92114A" w:rsidRPr="1C714392">
        <w:rPr>
          <w:rStyle w:val="normaltextrun"/>
          <w:rFonts w:ascii="Arial" w:eastAsia="Arial" w:hAnsi="Arial" w:cs="Arial"/>
          <w:color w:val="000000" w:themeColor="text1"/>
          <w:sz w:val="24"/>
          <w:szCs w:val="24"/>
          <w:lang w:val="en-NZ"/>
        </w:rPr>
        <w:t xml:space="preserve"> or arthritis,</w:t>
      </w:r>
      <w:r w:rsidR="79C45E14" w:rsidRPr="1C714392">
        <w:rPr>
          <w:rStyle w:val="normaltextrun"/>
          <w:rFonts w:ascii="Arial" w:eastAsia="Arial" w:hAnsi="Arial" w:cs="Arial"/>
          <w:color w:val="000000" w:themeColor="text1"/>
          <w:sz w:val="24"/>
          <w:szCs w:val="24"/>
          <w:lang w:val="en-NZ"/>
        </w:rPr>
        <w:t xml:space="preserve"> is the cause of their discomfort</w:t>
      </w:r>
      <w:r w:rsidR="598BA222" w:rsidRPr="1C714392">
        <w:rPr>
          <w:rStyle w:val="normaltextrun"/>
          <w:rFonts w:ascii="Arial" w:eastAsia="Arial" w:hAnsi="Arial" w:cs="Arial"/>
          <w:color w:val="000000" w:themeColor="text1"/>
          <w:sz w:val="24"/>
          <w:szCs w:val="24"/>
          <w:lang w:val="en-NZ"/>
        </w:rPr>
        <w:t xml:space="preserve"> and</w:t>
      </w:r>
      <w:r w:rsidR="44B23DEC" w:rsidRPr="1C714392">
        <w:rPr>
          <w:rStyle w:val="normaltextrun"/>
          <w:rFonts w:ascii="Arial" w:eastAsia="Arial" w:hAnsi="Arial" w:cs="Arial"/>
          <w:color w:val="000000" w:themeColor="text1"/>
          <w:sz w:val="24"/>
          <w:szCs w:val="24"/>
          <w:lang w:val="en-NZ"/>
        </w:rPr>
        <w:t xml:space="preserve"> not anything work related </w:t>
      </w:r>
      <w:r w:rsidR="658F8EA8" w:rsidRPr="1C714392">
        <w:rPr>
          <w:rStyle w:val="normaltextrun"/>
          <w:rFonts w:ascii="Arial" w:eastAsia="Arial" w:hAnsi="Arial" w:cs="Arial"/>
          <w:color w:val="000000" w:themeColor="text1"/>
          <w:sz w:val="24"/>
          <w:szCs w:val="24"/>
          <w:lang w:val="en-NZ"/>
        </w:rPr>
        <w:t>as it most likely could be</w:t>
      </w:r>
      <w:r w:rsidR="56609B10" w:rsidRPr="1C714392">
        <w:rPr>
          <w:rStyle w:val="normaltextrun"/>
          <w:rFonts w:ascii="Arial" w:eastAsia="Arial" w:hAnsi="Arial" w:cs="Arial"/>
          <w:color w:val="000000" w:themeColor="text1"/>
          <w:sz w:val="24"/>
          <w:szCs w:val="24"/>
          <w:lang w:val="en-NZ"/>
        </w:rPr>
        <w:t>.</w:t>
      </w:r>
    </w:p>
    <w:p w14:paraId="064DC919" w14:textId="4DA7E096" w:rsidR="003C0A13" w:rsidRDefault="56609B10"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There are also boundless other cases including of disabled people (with pre-existing impairments) who may have accidents in their home</w:t>
      </w:r>
      <w:r w:rsidR="6DF15C76" w:rsidRPr="1C714392">
        <w:rPr>
          <w:rStyle w:val="normaltextrun"/>
          <w:rFonts w:ascii="Arial" w:eastAsia="Arial" w:hAnsi="Arial" w:cs="Arial"/>
          <w:color w:val="000000" w:themeColor="text1"/>
          <w:sz w:val="24"/>
          <w:szCs w:val="24"/>
          <w:lang w:val="en-NZ"/>
        </w:rPr>
        <w:t xml:space="preserve"> or while outdoors mobilising on a wheelchair or other mobility device who are covered by ACC for any medical treatment but, if they are on a</w:t>
      </w:r>
      <w:r w:rsidR="2C9641A8" w:rsidRPr="1C714392">
        <w:rPr>
          <w:rStyle w:val="normaltextrun"/>
          <w:rFonts w:ascii="Arial" w:eastAsia="Arial" w:hAnsi="Arial" w:cs="Arial"/>
          <w:color w:val="000000" w:themeColor="text1"/>
          <w:sz w:val="24"/>
          <w:szCs w:val="24"/>
          <w:lang w:val="en-NZ"/>
        </w:rPr>
        <w:t>n income-tested benefit paid by</w:t>
      </w:r>
      <w:r w:rsidR="429B893D" w:rsidRPr="1C714392">
        <w:rPr>
          <w:rStyle w:val="normaltextrun"/>
          <w:rFonts w:ascii="Arial" w:eastAsia="Arial" w:hAnsi="Arial" w:cs="Arial"/>
          <w:color w:val="000000" w:themeColor="text1"/>
          <w:sz w:val="24"/>
          <w:szCs w:val="24"/>
          <w:lang w:val="en-NZ"/>
        </w:rPr>
        <w:t xml:space="preserve"> the</w:t>
      </w:r>
      <w:r w:rsidR="2C9641A8" w:rsidRPr="1C714392">
        <w:rPr>
          <w:rStyle w:val="normaltextrun"/>
          <w:rFonts w:ascii="Arial" w:eastAsia="Arial" w:hAnsi="Arial" w:cs="Arial"/>
          <w:color w:val="000000" w:themeColor="text1"/>
          <w:sz w:val="24"/>
          <w:szCs w:val="24"/>
          <w:lang w:val="en-NZ"/>
        </w:rPr>
        <w:t xml:space="preserve"> Ministry of Social Development (MSD) this may affect any income-related compensation they </w:t>
      </w:r>
      <w:r w:rsidR="6DA9ABA1" w:rsidRPr="1C714392">
        <w:rPr>
          <w:rStyle w:val="normaltextrun"/>
          <w:rFonts w:ascii="Arial" w:eastAsia="Arial" w:hAnsi="Arial" w:cs="Arial"/>
          <w:color w:val="000000" w:themeColor="text1"/>
          <w:sz w:val="24"/>
          <w:szCs w:val="24"/>
          <w:lang w:val="en-NZ"/>
        </w:rPr>
        <w:t>may be</w:t>
      </w:r>
      <w:r w:rsidR="2C9641A8" w:rsidRPr="1C714392">
        <w:rPr>
          <w:rStyle w:val="normaltextrun"/>
          <w:rFonts w:ascii="Arial" w:eastAsia="Arial" w:hAnsi="Arial" w:cs="Arial"/>
          <w:color w:val="000000" w:themeColor="text1"/>
          <w:sz w:val="24"/>
          <w:szCs w:val="24"/>
          <w:lang w:val="en-NZ"/>
        </w:rPr>
        <w:t xml:space="preserve"> eligible </w:t>
      </w:r>
      <w:r w:rsidR="5663B5DE" w:rsidRPr="1C714392">
        <w:rPr>
          <w:rStyle w:val="normaltextrun"/>
          <w:rFonts w:ascii="Arial" w:eastAsia="Arial" w:hAnsi="Arial" w:cs="Arial"/>
          <w:color w:val="000000" w:themeColor="text1"/>
          <w:sz w:val="24"/>
          <w:szCs w:val="24"/>
          <w:lang w:val="en-NZ"/>
        </w:rPr>
        <w:t>for</w:t>
      </w:r>
      <w:r w:rsidR="2C9641A8" w:rsidRPr="1C714392">
        <w:rPr>
          <w:rStyle w:val="normaltextrun"/>
          <w:rFonts w:ascii="Arial" w:eastAsia="Arial" w:hAnsi="Arial" w:cs="Arial"/>
          <w:color w:val="000000" w:themeColor="text1"/>
          <w:sz w:val="24"/>
          <w:szCs w:val="24"/>
          <w:lang w:val="en-NZ"/>
        </w:rPr>
        <w:t>, particularly if they are working</w:t>
      </w:r>
      <w:r w:rsidR="539AF3A9" w:rsidRPr="1C714392">
        <w:rPr>
          <w:rStyle w:val="normaltextrun"/>
          <w:rFonts w:ascii="Arial" w:eastAsia="Arial" w:hAnsi="Arial" w:cs="Arial"/>
          <w:color w:val="000000" w:themeColor="text1"/>
          <w:sz w:val="24"/>
          <w:szCs w:val="24"/>
          <w:lang w:val="en-NZ"/>
        </w:rPr>
        <w:t xml:space="preserve"> part-time</w:t>
      </w:r>
      <w:r w:rsidR="2C9641A8" w:rsidRPr="1C714392">
        <w:rPr>
          <w:rStyle w:val="normaltextrun"/>
          <w:rFonts w:ascii="Arial" w:eastAsia="Arial" w:hAnsi="Arial" w:cs="Arial"/>
          <w:color w:val="000000" w:themeColor="text1"/>
          <w:sz w:val="24"/>
          <w:szCs w:val="24"/>
          <w:lang w:val="en-NZ"/>
        </w:rPr>
        <w:t>.</w:t>
      </w:r>
    </w:p>
    <w:p w14:paraId="523901F0" w14:textId="70327B4C" w:rsidR="003C0A13" w:rsidRDefault="0722D2B1"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Systemic barriers such as these are the main reasons why disabled people (especially those outside of the ACC system) are already</w:t>
      </w:r>
      <w:r w:rsidR="3FE553A0" w:rsidRPr="1C714392">
        <w:rPr>
          <w:rStyle w:val="normaltextrun"/>
          <w:rFonts w:ascii="Arial" w:eastAsia="Arial" w:hAnsi="Arial" w:cs="Arial"/>
          <w:color w:val="000000" w:themeColor="text1"/>
          <w:sz w:val="24"/>
          <w:szCs w:val="24"/>
          <w:lang w:val="en-NZ"/>
        </w:rPr>
        <w:t xml:space="preserve"> highly</w:t>
      </w:r>
      <w:r w:rsidRPr="1C714392">
        <w:rPr>
          <w:rStyle w:val="normaltextrun"/>
          <w:rFonts w:ascii="Arial" w:eastAsia="Arial" w:hAnsi="Arial" w:cs="Arial"/>
          <w:color w:val="000000" w:themeColor="text1"/>
          <w:sz w:val="24"/>
          <w:szCs w:val="24"/>
          <w:lang w:val="en-NZ"/>
        </w:rPr>
        <w:t xml:space="preserve"> mistrustful of the system while disabled people </w:t>
      </w:r>
      <w:r w:rsidR="046C9D14" w:rsidRPr="1C714392">
        <w:rPr>
          <w:rStyle w:val="normaltextrun"/>
          <w:rFonts w:ascii="Arial" w:eastAsia="Arial" w:hAnsi="Arial" w:cs="Arial"/>
          <w:color w:val="000000" w:themeColor="text1"/>
          <w:sz w:val="24"/>
          <w:szCs w:val="24"/>
          <w:lang w:val="en-NZ"/>
        </w:rPr>
        <w:t xml:space="preserve">already </w:t>
      </w:r>
      <w:r w:rsidR="6CDBDBAD" w:rsidRPr="1C714392">
        <w:rPr>
          <w:rStyle w:val="normaltextrun"/>
          <w:rFonts w:ascii="Arial" w:eastAsia="Arial" w:hAnsi="Arial" w:cs="Arial"/>
          <w:color w:val="000000" w:themeColor="text1"/>
          <w:sz w:val="24"/>
          <w:szCs w:val="24"/>
          <w:lang w:val="en-NZ"/>
        </w:rPr>
        <w:t xml:space="preserve">covered by </w:t>
      </w:r>
      <w:r w:rsidR="0AD33378" w:rsidRPr="1C714392">
        <w:rPr>
          <w:rStyle w:val="normaltextrun"/>
          <w:rFonts w:ascii="Arial" w:eastAsia="Arial" w:hAnsi="Arial" w:cs="Arial"/>
          <w:color w:val="000000" w:themeColor="text1"/>
          <w:sz w:val="24"/>
          <w:szCs w:val="24"/>
          <w:lang w:val="en-NZ"/>
        </w:rPr>
        <w:t>ACC</w:t>
      </w:r>
      <w:r w:rsidR="6CDBDBAD" w:rsidRPr="1C714392">
        <w:rPr>
          <w:rStyle w:val="normaltextrun"/>
          <w:rFonts w:ascii="Arial" w:eastAsia="Arial" w:hAnsi="Arial" w:cs="Arial"/>
          <w:color w:val="000000" w:themeColor="text1"/>
          <w:sz w:val="24"/>
          <w:szCs w:val="24"/>
          <w:lang w:val="en-NZ"/>
        </w:rPr>
        <w:t xml:space="preserve"> have been subjected to constant change, particularly people who have been in receipt of long-term support from the Corporatio</w:t>
      </w:r>
      <w:r w:rsidR="2754AC29" w:rsidRPr="1C714392">
        <w:rPr>
          <w:rStyle w:val="normaltextrun"/>
          <w:rFonts w:ascii="Arial" w:eastAsia="Arial" w:hAnsi="Arial" w:cs="Arial"/>
          <w:color w:val="000000" w:themeColor="text1"/>
          <w:sz w:val="24"/>
          <w:szCs w:val="24"/>
          <w:lang w:val="en-NZ"/>
        </w:rPr>
        <w:t>n and have become equally disdainful of it</w:t>
      </w:r>
      <w:r w:rsidR="5250892B" w:rsidRPr="1C714392">
        <w:rPr>
          <w:rStyle w:val="normaltextrun"/>
          <w:rFonts w:ascii="Arial" w:eastAsia="Arial" w:hAnsi="Arial" w:cs="Arial"/>
          <w:color w:val="000000" w:themeColor="text1"/>
          <w:sz w:val="24"/>
          <w:szCs w:val="24"/>
          <w:lang w:val="en-NZ"/>
        </w:rPr>
        <w:t xml:space="preserve"> as</w:t>
      </w:r>
      <w:r w:rsidR="5CCA4C42" w:rsidRPr="1C714392">
        <w:rPr>
          <w:rStyle w:val="normaltextrun"/>
          <w:rFonts w:ascii="Arial" w:eastAsia="Arial" w:hAnsi="Arial" w:cs="Arial"/>
          <w:color w:val="000000" w:themeColor="text1"/>
          <w:sz w:val="24"/>
          <w:szCs w:val="24"/>
          <w:lang w:val="en-NZ"/>
        </w:rPr>
        <w:t xml:space="preserve"> the result of numerous assessments and poor decisions</w:t>
      </w:r>
      <w:r w:rsidR="2754AC29" w:rsidRPr="1C714392">
        <w:rPr>
          <w:rStyle w:val="normaltextrun"/>
          <w:rFonts w:ascii="Arial" w:eastAsia="Arial" w:hAnsi="Arial" w:cs="Arial"/>
          <w:color w:val="000000" w:themeColor="text1"/>
          <w:sz w:val="24"/>
          <w:szCs w:val="24"/>
          <w:lang w:val="en-NZ"/>
        </w:rPr>
        <w:t>.</w:t>
      </w:r>
    </w:p>
    <w:p w14:paraId="01BAD1ED" w14:textId="6758DA31" w:rsidR="003C0A13" w:rsidRDefault="708C3C74"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lastRenderedPageBreak/>
        <w:t xml:space="preserve">Māori and Tāngata Whaikaha – Disabled Māori </w:t>
      </w:r>
      <w:r w:rsidR="7BD40334" w:rsidRPr="1C714392">
        <w:rPr>
          <w:rStyle w:val="normaltextrun"/>
          <w:rFonts w:ascii="Arial" w:eastAsia="Arial" w:hAnsi="Arial" w:cs="Arial"/>
          <w:color w:val="000000" w:themeColor="text1"/>
          <w:sz w:val="24"/>
          <w:szCs w:val="24"/>
          <w:lang w:val="en-NZ"/>
        </w:rPr>
        <w:t xml:space="preserve">are far more likely to have negative views of ACC than their Tangata Tiriti counterparts. </w:t>
      </w:r>
      <w:r w:rsidR="41DD3E4F" w:rsidRPr="511FB7EF">
        <w:rPr>
          <w:rStyle w:val="normaltextrun"/>
          <w:rFonts w:ascii="Arial" w:eastAsia="Arial" w:hAnsi="Arial" w:cs="Arial"/>
          <w:color w:val="000000" w:themeColor="text1"/>
          <w:sz w:val="24"/>
          <w:szCs w:val="24"/>
          <w:lang w:val="en-NZ"/>
        </w:rPr>
        <w:t xml:space="preserve"> In the recent </w:t>
      </w:r>
      <w:r w:rsidR="41DD3E4F" w:rsidRPr="511FB7EF">
        <w:rPr>
          <w:rFonts w:ascii="Roboto" w:eastAsia="Roboto" w:hAnsi="Roboto" w:cs="Roboto"/>
          <w:color w:val="111111"/>
          <w:sz w:val="24"/>
          <w:szCs w:val="24"/>
          <w:lang w:val="en-NZ"/>
        </w:rPr>
        <w:t>Waitangi Tribunal Health Services and Outcomes Inquiry (Wai 2575</w:t>
      </w:r>
      <w:r w:rsidR="41DD3E4F" w:rsidRPr="34F0BA19">
        <w:rPr>
          <w:rFonts w:ascii="Roboto" w:eastAsia="Roboto" w:hAnsi="Roboto" w:cs="Roboto"/>
          <w:color w:val="111111"/>
          <w:sz w:val="24"/>
          <w:szCs w:val="24"/>
          <w:lang w:val="en-NZ"/>
        </w:rPr>
        <w:t>)</w:t>
      </w:r>
      <w:r w:rsidRPr="34F0BA19">
        <w:rPr>
          <w:rStyle w:val="FootnoteReference"/>
          <w:rFonts w:ascii="Roboto" w:eastAsia="Roboto" w:hAnsi="Roboto" w:cs="Roboto"/>
          <w:color w:val="111111"/>
          <w:sz w:val="24"/>
          <w:szCs w:val="24"/>
          <w:lang w:val="en-NZ"/>
        </w:rPr>
        <w:footnoteReference w:id="3"/>
      </w:r>
      <w:r w:rsidR="41DD3E4F" w:rsidRPr="34F0BA19">
        <w:rPr>
          <w:rFonts w:ascii="Roboto" w:eastAsia="Roboto" w:hAnsi="Roboto" w:cs="Roboto"/>
          <w:color w:val="111111"/>
          <w:sz w:val="24"/>
          <w:szCs w:val="24"/>
          <w:lang w:val="en-NZ"/>
        </w:rPr>
        <w:t>,</w:t>
      </w:r>
      <w:r w:rsidR="57E793B1" w:rsidRPr="511FB7EF">
        <w:rPr>
          <w:rFonts w:ascii="Roboto" w:eastAsia="Roboto" w:hAnsi="Roboto" w:cs="Roboto"/>
          <w:color w:val="111111"/>
          <w:sz w:val="24"/>
          <w:szCs w:val="24"/>
          <w:lang w:val="en-NZ"/>
        </w:rPr>
        <w:t xml:space="preserve"> </w:t>
      </w:r>
      <w:r w:rsidR="57E793B1" w:rsidRPr="511FB7EF">
        <w:rPr>
          <w:rStyle w:val="normaltextrun"/>
          <w:rFonts w:ascii="Arial" w:eastAsia="Arial" w:hAnsi="Arial" w:cs="Arial"/>
          <w:color w:val="000000" w:themeColor="text1"/>
          <w:sz w:val="24"/>
          <w:szCs w:val="24"/>
          <w:lang w:val="en-NZ"/>
        </w:rPr>
        <w:t>Māori disabled shared the stories of ACC’s inaccessibility and</w:t>
      </w:r>
      <w:r w:rsidR="5AFEE8D9" w:rsidRPr="511FB7EF">
        <w:rPr>
          <w:rStyle w:val="normaltextrun"/>
          <w:rFonts w:ascii="Arial" w:eastAsia="Arial" w:hAnsi="Arial" w:cs="Arial"/>
          <w:color w:val="000000" w:themeColor="text1"/>
          <w:sz w:val="24"/>
          <w:szCs w:val="24"/>
          <w:lang w:val="en-NZ"/>
        </w:rPr>
        <w:t xml:space="preserve"> the impact it had on them as disabl</w:t>
      </w:r>
      <w:r w:rsidR="029C7B5F" w:rsidRPr="511FB7EF">
        <w:rPr>
          <w:rStyle w:val="normaltextrun"/>
          <w:rFonts w:ascii="Arial" w:eastAsia="Arial" w:hAnsi="Arial" w:cs="Arial"/>
          <w:color w:val="000000" w:themeColor="text1"/>
          <w:sz w:val="24"/>
          <w:szCs w:val="24"/>
          <w:lang w:val="en-NZ"/>
        </w:rPr>
        <w:t>ed children and adults.</w:t>
      </w:r>
    </w:p>
    <w:p w14:paraId="5E7C0EB8" w14:textId="0D3F41F1" w:rsidR="003C0A13" w:rsidRDefault="7BD40334"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 xml:space="preserve">DPA supported the legislation centring around the need to improve access to ACC services, supports and coverage for Māori given the low number </w:t>
      </w:r>
      <w:r w:rsidR="6DD606D7" w:rsidRPr="511FB7EF">
        <w:rPr>
          <w:rStyle w:val="normaltextrun"/>
          <w:rFonts w:ascii="Arial" w:eastAsia="Arial" w:hAnsi="Arial" w:cs="Arial"/>
          <w:color w:val="000000" w:themeColor="text1"/>
          <w:sz w:val="24"/>
          <w:szCs w:val="24"/>
          <w:lang w:val="en-NZ"/>
        </w:rPr>
        <w:t>doing so.</w:t>
      </w:r>
      <w:r w:rsidR="6DD606D7" w:rsidRPr="1C714392">
        <w:rPr>
          <w:rStyle w:val="normaltextrun"/>
          <w:rFonts w:ascii="Arial" w:eastAsia="Arial" w:hAnsi="Arial" w:cs="Arial"/>
          <w:color w:val="000000" w:themeColor="text1"/>
          <w:sz w:val="24"/>
          <w:szCs w:val="24"/>
          <w:lang w:val="en-NZ"/>
        </w:rPr>
        <w:t xml:space="preserve"> </w:t>
      </w:r>
      <w:r w:rsidR="4CEF0687" w:rsidRPr="511FB7EF">
        <w:rPr>
          <w:rStyle w:val="normaltextrun"/>
          <w:rFonts w:ascii="Arial" w:eastAsia="Arial" w:hAnsi="Arial" w:cs="Arial"/>
          <w:color w:val="000000" w:themeColor="text1"/>
          <w:sz w:val="24"/>
          <w:szCs w:val="24"/>
          <w:lang w:val="en-NZ"/>
        </w:rPr>
        <w:t xml:space="preserve"> ACC has given the most retrograde advice on claimants' </w:t>
      </w:r>
      <w:r w:rsidR="0CAEE145" w:rsidRPr="511FB7EF">
        <w:rPr>
          <w:rStyle w:val="normaltextrun"/>
          <w:rFonts w:ascii="Arial" w:eastAsia="Arial" w:hAnsi="Arial" w:cs="Arial"/>
          <w:color w:val="000000" w:themeColor="text1"/>
          <w:sz w:val="24"/>
          <w:szCs w:val="24"/>
          <w:lang w:val="en-NZ"/>
        </w:rPr>
        <w:t>files,</w:t>
      </w:r>
      <w:r w:rsidR="4CEF0687" w:rsidRPr="511FB7EF">
        <w:rPr>
          <w:rStyle w:val="normaltextrun"/>
          <w:rFonts w:ascii="Arial" w:eastAsia="Arial" w:hAnsi="Arial" w:cs="Arial"/>
          <w:color w:val="000000" w:themeColor="text1"/>
          <w:sz w:val="24"/>
          <w:szCs w:val="24"/>
          <w:lang w:val="en-NZ"/>
        </w:rPr>
        <w:t xml:space="preserve"> and they have been the subject of many complaints over their advice about degenerative </w:t>
      </w:r>
      <w:r w:rsidR="2EECA3EA" w:rsidRPr="511FB7EF">
        <w:rPr>
          <w:rStyle w:val="normaltextrun"/>
          <w:rFonts w:ascii="Arial" w:eastAsia="Arial" w:hAnsi="Arial" w:cs="Arial"/>
          <w:color w:val="000000" w:themeColor="text1"/>
          <w:sz w:val="24"/>
          <w:szCs w:val="24"/>
          <w:lang w:val="en-NZ"/>
        </w:rPr>
        <w:t>versu</w:t>
      </w:r>
      <w:r w:rsidR="4CEF0687" w:rsidRPr="511FB7EF">
        <w:rPr>
          <w:rStyle w:val="normaltextrun"/>
          <w:rFonts w:ascii="Arial" w:eastAsia="Arial" w:hAnsi="Arial" w:cs="Arial"/>
          <w:color w:val="000000" w:themeColor="text1"/>
          <w:sz w:val="24"/>
          <w:szCs w:val="24"/>
          <w:lang w:val="en-NZ"/>
        </w:rPr>
        <w:t>s</w:t>
      </w:r>
      <w:r w:rsidR="2EECA3EA" w:rsidRPr="511FB7EF">
        <w:rPr>
          <w:rStyle w:val="normaltextrun"/>
          <w:rFonts w:ascii="Arial" w:eastAsia="Arial" w:hAnsi="Arial" w:cs="Arial"/>
          <w:color w:val="000000" w:themeColor="text1"/>
          <w:sz w:val="24"/>
          <w:szCs w:val="24"/>
          <w:lang w:val="en-NZ"/>
        </w:rPr>
        <w:t xml:space="preserve"> accident</w:t>
      </w:r>
      <w:r w:rsidR="3F8558A3" w:rsidRPr="511FB7EF">
        <w:rPr>
          <w:rStyle w:val="normaltextrun"/>
          <w:rFonts w:ascii="Arial" w:eastAsia="Arial" w:hAnsi="Arial" w:cs="Arial"/>
          <w:color w:val="000000" w:themeColor="text1"/>
          <w:sz w:val="24"/>
          <w:szCs w:val="24"/>
          <w:lang w:val="en-NZ"/>
        </w:rPr>
        <w:t>-</w:t>
      </w:r>
      <w:r w:rsidR="2EECA3EA" w:rsidRPr="511FB7EF">
        <w:rPr>
          <w:rStyle w:val="normaltextrun"/>
          <w:rFonts w:ascii="Arial" w:eastAsia="Arial" w:hAnsi="Arial" w:cs="Arial"/>
          <w:color w:val="000000" w:themeColor="text1"/>
          <w:sz w:val="24"/>
          <w:szCs w:val="24"/>
          <w:lang w:val="en-NZ"/>
        </w:rPr>
        <w:t>related injuries</w:t>
      </w:r>
      <w:r w:rsidRPr="511FB7EF">
        <w:rPr>
          <w:rStyle w:val="FootnoteReference"/>
          <w:rFonts w:ascii="Arial" w:eastAsia="Arial" w:hAnsi="Arial" w:cs="Arial"/>
          <w:color w:val="000000" w:themeColor="text1"/>
          <w:sz w:val="24"/>
          <w:szCs w:val="24"/>
          <w:lang w:val="en-NZ"/>
        </w:rPr>
        <w:footnoteReference w:id="4"/>
      </w:r>
      <w:r w:rsidR="4CEF0687" w:rsidRPr="511FB7EF">
        <w:rPr>
          <w:rStyle w:val="normaltextrun"/>
          <w:rFonts w:ascii="Arial" w:eastAsia="Arial" w:hAnsi="Arial" w:cs="Arial"/>
          <w:color w:val="000000" w:themeColor="text1"/>
          <w:sz w:val="24"/>
          <w:szCs w:val="24"/>
          <w:lang w:val="en-NZ"/>
        </w:rPr>
        <w:t>.</w:t>
      </w:r>
    </w:p>
    <w:p w14:paraId="792AC299" w14:textId="370A7E8E" w:rsidR="003C0A13" w:rsidRDefault="6DD606D7" w:rsidP="1C714392">
      <w:pPr>
        <w:spacing w:line="360" w:lineRule="auto"/>
        <w:rPr>
          <w:rStyle w:val="normaltextrun"/>
          <w:rFonts w:ascii="Arial" w:eastAsia="Arial" w:hAnsi="Arial" w:cs="Arial"/>
          <w:color w:val="000000" w:themeColor="text1"/>
          <w:sz w:val="24"/>
          <w:szCs w:val="24"/>
          <w:lang w:val="en-NZ"/>
        </w:rPr>
      </w:pPr>
      <w:r w:rsidRPr="79448C07">
        <w:rPr>
          <w:rStyle w:val="normaltextrun"/>
          <w:rFonts w:ascii="Arial" w:eastAsia="Arial" w:hAnsi="Arial" w:cs="Arial"/>
          <w:color w:val="000000" w:themeColor="text1"/>
          <w:sz w:val="24"/>
          <w:szCs w:val="24"/>
          <w:lang w:val="en-NZ"/>
        </w:rPr>
        <w:t>We support the greater provision of</w:t>
      </w:r>
      <w:r w:rsidR="1C9FF7CD" w:rsidRPr="79448C07">
        <w:rPr>
          <w:rStyle w:val="normaltextrun"/>
          <w:rFonts w:ascii="Arial" w:eastAsia="Arial" w:hAnsi="Arial" w:cs="Arial"/>
          <w:color w:val="000000" w:themeColor="text1"/>
          <w:sz w:val="24"/>
          <w:szCs w:val="24"/>
          <w:lang w:val="en-NZ"/>
        </w:rPr>
        <w:t xml:space="preserve"> ACC</w:t>
      </w:r>
      <w:r w:rsidRPr="79448C07">
        <w:rPr>
          <w:rStyle w:val="normaltextrun"/>
          <w:rFonts w:ascii="Arial" w:eastAsia="Arial" w:hAnsi="Arial" w:cs="Arial"/>
          <w:color w:val="000000" w:themeColor="text1"/>
          <w:sz w:val="24"/>
          <w:szCs w:val="24"/>
          <w:lang w:val="en-NZ"/>
        </w:rPr>
        <w:t xml:space="preserve"> services on a Te Tiriti-basis. We hope that </w:t>
      </w:r>
      <w:r w:rsidR="3C1CBEDB" w:rsidRPr="79448C07">
        <w:rPr>
          <w:rStyle w:val="normaltextrun"/>
          <w:rFonts w:ascii="Arial" w:eastAsia="Arial" w:hAnsi="Arial" w:cs="Arial"/>
          <w:color w:val="000000" w:themeColor="text1"/>
          <w:sz w:val="24"/>
          <w:szCs w:val="24"/>
          <w:lang w:val="en-NZ"/>
        </w:rPr>
        <w:t xml:space="preserve">the Corporation’s planned </w:t>
      </w:r>
      <w:r w:rsidRPr="79448C07">
        <w:rPr>
          <w:rStyle w:val="normaltextrun"/>
          <w:rFonts w:ascii="Arial" w:eastAsia="Arial" w:hAnsi="Arial" w:cs="Arial"/>
          <w:color w:val="000000" w:themeColor="text1"/>
          <w:sz w:val="24"/>
          <w:szCs w:val="24"/>
          <w:lang w:val="en-NZ"/>
        </w:rPr>
        <w:t xml:space="preserve">research will enable </w:t>
      </w:r>
      <w:r w:rsidR="58704030" w:rsidRPr="79448C07">
        <w:rPr>
          <w:rStyle w:val="normaltextrun"/>
          <w:rFonts w:ascii="Arial" w:eastAsia="Arial" w:hAnsi="Arial" w:cs="Arial"/>
          <w:color w:val="000000" w:themeColor="text1"/>
          <w:sz w:val="24"/>
          <w:szCs w:val="24"/>
          <w:lang w:val="en-NZ"/>
        </w:rPr>
        <w:t>greater light to be shed on the reasons behind the low uptake of ACC amongst Māori, which we believe maybe due to the same biases which face tangata whenua</w:t>
      </w:r>
      <w:r w:rsidR="5F22D8C4" w:rsidRPr="79448C07">
        <w:rPr>
          <w:rStyle w:val="normaltextrun"/>
          <w:rFonts w:ascii="Arial" w:eastAsia="Arial" w:hAnsi="Arial" w:cs="Arial"/>
          <w:color w:val="000000" w:themeColor="text1"/>
          <w:sz w:val="24"/>
          <w:szCs w:val="24"/>
          <w:lang w:val="en-NZ"/>
        </w:rPr>
        <w:t xml:space="preserve"> when </w:t>
      </w:r>
      <w:r w:rsidR="58704030" w:rsidRPr="79448C07">
        <w:rPr>
          <w:rStyle w:val="normaltextrun"/>
          <w:rFonts w:ascii="Arial" w:eastAsia="Arial" w:hAnsi="Arial" w:cs="Arial"/>
          <w:color w:val="000000" w:themeColor="text1"/>
          <w:sz w:val="24"/>
          <w:szCs w:val="24"/>
          <w:lang w:val="en-NZ"/>
        </w:rPr>
        <w:t xml:space="preserve">accessing </w:t>
      </w:r>
      <w:r w:rsidR="6BA9B3EA" w:rsidRPr="79448C07">
        <w:rPr>
          <w:rStyle w:val="normaltextrun"/>
          <w:rFonts w:ascii="Arial" w:eastAsia="Arial" w:hAnsi="Arial" w:cs="Arial"/>
          <w:color w:val="000000" w:themeColor="text1"/>
          <w:sz w:val="24"/>
          <w:szCs w:val="24"/>
          <w:lang w:val="en-NZ"/>
        </w:rPr>
        <w:t>the existing welfare system</w:t>
      </w:r>
      <w:r w:rsidR="235E2008" w:rsidRPr="79448C07">
        <w:rPr>
          <w:rStyle w:val="normaltextrun"/>
          <w:rFonts w:ascii="Arial" w:eastAsia="Arial" w:hAnsi="Arial" w:cs="Arial"/>
          <w:color w:val="000000" w:themeColor="text1"/>
          <w:sz w:val="24"/>
          <w:szCs w:val="24"/>
          <w:lang w:val="en-NZ"/>
        </w:rPr>
        <w:t xml:space="preserve"> through MSD’s Work and Income service.</w:t>
      </w:r>
    </w:p>
    <w:p w14:paraId="28646C1A" w14:textId="25316DFA" w:rsidR="79448C07" w:rsidRDefault="79448C07" w:rsidP="79448C07">
      <w:pPr>
        <w:spacing w:line="360" w:lineRule="auto"/>
        <w:rPr>
          <w:rStyle w:val="normaltextrun"/>
          <w:rFonts w:ascii="Arial" w:eastAsia="Arial" w:hAnsi="Arial" w:cs="Arial"/>
          <w:color w:val="000000" w:themeColor="text1"/>
          <w:sz w:val="24"/>
          <w:szCs w:val="24"/>
          <w:lang w:val="en-NZ"/>
        </w:rPr>
      </w:pPr>
    </w:p>
    <w:p w14:paraId="0F5F5C3C" w14:textId="3C6DF1FA" w:rsidR="003C0A13" w:rsidRDefault="708C3C74" w:rsidP="7DC579ED">
      <w:pPr>
        <w:pStyle w:val="Heading1"/>
        <w:numPr>
          <w:ilvl w:val="0"/>
          <w:numId w:val="1"/>
        </w:numPr>
        <w:spacing w:line="276" w:lineRule="auto"/>
        <w:ind w:right="306"/>
        <w:rPr>
          <w:rFonts w:ascii="Arial" w:eastAsia="Arial" w:hAnsi="Arial" w:cs="Arial"/>
          <w:b/>
          <w:bCs/>
          <w:color w:val="002060"/>
          <w:sz w:val="28"/>
          <w:szCs w:val="28"/>
          <w:lang w:val="en-NZ"/>
        </w:rPr>
      </w:pPr>
      <w:r w:rsidRPr="79448C07">
        <w:rPr>
          <w:rFonts w:ascii="Arial" w:eastAsia="Arial" w:hAnsi="Arial" w:cs="Arial"/>
          <w:b/>
          <w:bCs/>
          <w:color w:val="002060"/>
          <w:sz w:val="28"/>
          <w:szCs w:val="28"/>
          <w:lang w:val="en-NZ"/>
        </w:rPr>
        <w:t>Our views on the proposed methods</w:t>
      </w:r>
    </w:p>
    <w:p w14:paraId="135297EB" w14:textId="664FB13B" w:rsidR="79448C07" w:rsidRDefault="79448C07" w:rsidP="79448C07">
      <w:pPr>
        <w:spacing w:line="360" w:lineRule="auto"/>
        <w:rPr>
          <w:rStyle w:val="normaltextrun"/>
          <w:rFonts w:ascii="Arial" w:eastAsia="Arial" w:hAnsi="Arial" w:cs="Arial"/>
          <w:color w:val="000000" w:themeColor="text1"/>
          <w:sz w:val="24"/>
          <w:szCs w:val="24"/>
          <w:lang w:val="en-NZ"/>
        </w:rPr>
      </w:pPr>
    </w:p>
    <w:p w14:paraId="475E61EB" w14:textId="2ACF82A9" w:rsidR="003C0A13" w:rsidRDefault="61FE1C57"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 xml:space="preserve">DPA </w:t>
      </w:r>
      <w:r w:rsidR="74704929" w:rsidRPr="1C714392">
        <w:rPr>
          <w:rStyle w:val="normaltextrun"/>
          <w:rFonts w:ascii="Arial" w:eastAsia="Arial" w:hAnsi="Arial" w:cs="Arial"/>
          <w:color w:val="000000" w:themeColor="text1"/>
          <w:sz w:val="24"/>
          <w:szCs w:val="24"/>
          <w:lang w:val="en-NZ"/>
        </w:rPr>
        <w:t>recommends using</w:t>
      </w:r>
      <w:r w:rsidRPr="1C714392">
        <w:rPr>
          <w:rStyle w:val="normaltextrun"/>
          <w:rFonts w:ascii="Arial" w:eastAsia="Arial" w:hAnsi="Arial" w:cs="Arial"/>
          <w:color w:val="000000" w:themeColor="text1"/>
          <w:sz w:val="24"/>
          <w:szCs w:val="24"/>
          <w:lang w:val="en-NZ"/>
        </w:rPr>
        <w:t xml:space="preserve"> the general methodologies outlined for collating data </w:t>
      </w:r>
      <w:r w:rsidR="151DD691" w:rsidRPr="1C714392">
        <w:rPr>
          <w:rStyle w:val="normaltextrun"/>
          <w:rFonts w:ascii="Arial" w:eastAsia="Arial" w:hAnsi="Arial" w:cs="Arial"/>
          <w:color w:val="000000" w:themeColor="text1"/>
          <w:sz w:val="24"/>
          <w:szCs w:val="24"/>
          <w:lang w:val="en-NZ"/>
        </w:rPr>
        <w:t>for each of the three required reports due between 2024 and 2026.</w:t>
      </w:r>
    </w:p>
    <w:p w14:paraId="4CBAABF3" w14:textId="0950AC1D" w:rsidR="003C0A13" w:rsidRDefault="2537F23D" w:rsidP="1C714392">
      <w:pPr>
        <w:spacing w:line="360" w:lineRule="auto"/>
        <w:rPr>
          <w:rStyle w:val="normaltextrun"/>
          <w:rFonts w:ascii="Arial" w:eastAsia="Arial" w:hAnsi="Arial" w:cs="Arial"/>
          <w:color w:val="000000" w:themeColor="text1"/>
          <w:sz w:val="24"/>
          <w:szCs w:val="24"/>
          <w:lang w:val="en-NZ"/>
        </w:rPr>
      </w:pPr>
      <w:r w:rsidRPr="79448C07">
        <w:rPr>
          <w:rStyle w:val="normaltextrun"/>
          <w:rFonts w:ascii="Arial" w:eastAsia="Arial" w:hAnsi="Arial" w:cs="Arial"/>
          <w:color w:val="000000" w:themeColor="text1"/>
          <w:sz w:val="24"/>
          <w:szCs w:val="24"/>
          <w:lang w:val="en-NZ"/>
        </w:rPr>
        <w:t>DPA also welcomes ACC’s plans to refine its methodologies through engaging with interested people and groups ahead of the preparation of each report.</w:t>
      </w:r>
      <w:r w:rsidR="3B1FD6C3" w:rsidRPr="79448C07">
        <w:rPr>
          <w:rStyle w:val="normaltextrun"/>
          <w:rFonts w:ascii="Arial" w:eastAsia="Arial" w:hAnsi="Arial" w:cs="Arial"/>
          <w:color w:val="000000" w:themeColor="text1"/>
          <w:sz w:val="24"/>
          <w:szCs w:val="24"/>
          <w:lang w:val="en-NZ"/>
        </w:rPr>
        <w:t xml:space="preserve"> </w:t>
      </w:r>
      <w:r w:rsidRPr="79448C07">
        <w:rPr>
          <w:rStyle w:val="normaltextrun"/>
          <w:rFonts w:ascii="Arial" w:eastAsia="Arial" w:hAnsi="Arial" w:cs="Arial"/>
          <w:color w:val="000000" w:themeColor="text1"/>
          <w:sz w:val="24"/>
          <w:szCs w:val="24"/>
          <w:lang w:val="en-NZ"/>
        </w:rPr>
        <w:t>DPA signals its interest in being consulted as part of this process.</w:t>
      </w:r>
    </w:p>
    <w:p w14:paraId="5142B80D" w14:textId="1F1B293F" w:rsidR="003C0A13" w:rsidRDefault="2537F23D" w:rsidP="1C714392">
      <w:pPr>
        <w:spacing w:line="360" w:lineRule="auto"/>
        <w:rPr>
          <w:rStyle w:val="normaltextrun"/>
          <w:rFonts w:ascii="Arial" w:eastAsia="Arial" w:hAnsi="Arial" w:cs="Arial"/>
          <w:color w:val="000000" w:themeColor="text1"/>
          <w:sz w:val="24"/>
          <w:szCs w:val="24"/>
          <w:lang w:val="en-NZ"/>
        </w:rPr>
      </w:pPr>
      <w:r w:rsidRPr="79448C07">
        <w:rPr>
          <w:rStyle w:val="normaltextrun"/>
          <w:rFonts w:ascii="Arial" w:eastAsia="Arial" w:hAnsi="Arial" w:cs="Arial"/>
          <w:color w:val="000000" w:themeColor="text1"/>
          <w:sz w:val="24"/>
          <w:szCs w:val="24"/>
          <w:lang w:val="en-NZ"/>
        </w:rPr>
        <w:t xml:space="preserve">However, we recommend that the process go beyond just consultation </w:t>
      </w:r>
      <w:r w:rsidR="04CD8FF0" w:rsidRPr="79448C07">
        <w:rPr>
          <w:rStyle w:val="normaltextrun"/>
          <w:rFonts w:ascii="Arial" w:eastAsia="Arial" w:hAnsi="Arial" w:cs="Arial"/>
          <w:color w:val="000000" w:themeColor="text1"/>
          <w:sz w:val="24"/>
          <w:szCs w:val="24"/>
          <w:lang w:val="en-NZ"/>
        </w:rPr>
        <w:t>to</w:t>
      </w:r>
      <w:r w:rsidRPr="79448C07">
        <w:rPr>
          <w:rStyle w:val="normaltextrun"/>
          <w:rFonts w:ascii="Arial" w:eastAsia="Arial" w:hAnsi="Arial" w:cs="Arial"/>
          <w:color w:val="000000" w:themeColor="text1"/>
          <w:sz w:val="24"/>
          <w:szCs w:val="24"/>
          <w:lang w:val="en-NZ"/>
        </w:rPr>
        <w:t xml:space="preserve"> </w:t>
      </w:r>
      <w:r w:rsidR="1399E335" w:rsidRPr="79448C07">
        <w:rPr>
          <w:rStyle w:val="normaltextrun"/>
          <w:rFonts w:ascii="Arial" w:eastAsia="Arial" w:hAnsi="Arial" w:cs="Arial"/>
          <w:color w:val="000000" w:themeColor="text1"/>
          <w:sz w:val="24"/>
          <w:szCs w:val="24"/>
          <w:lang w:val="en-NZ"/>
        </w:rPr>
        <w:t>b</w:t>
      </w:r>
      <w:r w:rsidR="34862FBB" w:rsidRPr="79448C07">
        <w:rPr>
          <w:rStyle w:val="normaltextrun"/>
          <w:rFonts w:ascii="Arial" w:eastAsia="Arial" w:hAnsi="Arial" w:cs="Arial"/>
          <w:color w:val="000000" w:themeColor="text1"/>
          <w:sz w:val="24"/>
          <w:szCs w:val="24"/>
          <w:lang w:val="en-NZ"/>
        </w:rPr>
        <w:t>ecome</w:t>
      </w:r>
      <w:r w:rsidR="1399E335" w:rsidRPr="79448C07">
        <w:rPr>
          <w:rStyle w:val="normaltextrun"/>
          <w:rFonts w:ascii="Arial" w:eastAsia="Arial" w:hAnsi="Arial" w:cs="Arial"/>
          <w:color w:val="000000" w:themeColor="text1"/>
          <w:sz w:val="24"/>
          <w:szCs w:val="24"/>
          <w:lang w:val="en-NZ"/>
        </w:rPr>
        <w:t xml:space="preserve"> a</w:t>
      </w:r>
      <w:r w:rsidRPr="79448C07">
        <w:rPr>
          <w:rStyle w:val="normaltextrun"/>
          <w:rFonts w:ascii="Arial" w:eastAsia="Arial" w:hAnsi="Arial" w:cs="Arial"/>
          <w:color w:val="000000" w:themeColor="text1"/>
          <w:sz w:val="24"/>
          <w:szCs w:val="24"/>
          <w:lang w:val="en-NZ"/>
        </w:rPr>
        <w:t xml:space="preserve"> full co-design process between ACC and each of the </w:t>
      </w:r>
      <w:r w:rsidR="40906B42" w:rsidRPr="79448C07">
        <w:rPr>
          <w:rStyle w:val="normaltextrun"/>
          <w:rFonts w:ascii="Arial" w:eastAsia="Arial" w:hAnsi="Arial" w:cs="Arial"/>
          <w:color w:val="000000" w:themeColor="text1"/>
          <w:sz w:val="24"/>
          <w:szCs w:val="24"/>
          <w:lang w:val="en-NZ"/>
        </w:rPr>
        <w:t>population groups</w:t>
      </w:r>
      <w:r w:rsidR="3EAB7F00" w:rsidRPr="79448C07">
        <w:rPr>
          <w:rStyle w:val="normaltextrun"/>
          <w:rFonts w:ascii="Arial" w:eastAsia="Arial" w:hAnsi="Arial" w:cs="Arial"/>
          <w:color w:val="000000" w:themeColor="text1"/>
          <w:sz w:val="24"/>
          <w:szCs w:val="24"/>
          <w:lang w:val="en-NZ"/>
        </w:rPr>
        <w:t xml:space="preserve"> being researched</w:t>
      </w:r>
      <w:r w:rsidR="40906B42" w:rsidRPr="79448C07">
        <w:rPr>
          <w:rStyle w:val="normaltextrun"/>
          <w:rFonts w:ascii="Arial" w:eastAsia="Arial" w:hAnsi="Arial" w:cs="Arial"/>
          <w:color w:val="000000" w:themeColor="text1"/>
          <w:sz w:val="24"/>
          <w:szCs w:val="24"/>
          <w:lang w:val="en-NZ"/>
        </w:rPr>
        <w:t>, including disabled people.</w:t>
      </w:r>
    </w:p>
    <w:p w14:paraId="7D2A71F8" w14:textId="533B5B78" w:rsidR="003C0A13" w:rsidRDefault="58A55ECA"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lastRenderedPageBreak/>
        <w:t xml:space="preserve">Co-design processes enable disabled people and other population equity groups to work together with researchers as to how the process should be undertaken, the questions </w:t>
      </w:r>
      <w:r w:rsidR="1B253C16" w:rsidRPr="1C714392">
        <w:rPr>
          <w:rStyle w:val="normaltextrun"/>
          <w:rFonts w:ascii="Arial" w:eastAsia="Arial" w:hAnsi="Arial" w:cs="Arial"/>
          <w:color w:val="000000" w:themeColor="text1"/>
          <w:sz w:val="24"/>
          <w:szCs w:val="24"/>
          <w:lang w:val="en-NZ"/>
        </w:rPr>
        <w:t>which need asking</w:t>
      </w:r>
      <w:r w:rsidRPr="1C714392">
        <w:rPr>
          <w:rStyle w:val="normaltextrun"/>
          <w:rFonts w:ascii="Arial" w:eastAsia="Arial" w:hAnsi="Arial" w:cs="Arial"/>
          <w:color w:val="000000" w:themeColor="text1"/>
          <w:sz w:val="24"/>
          <w:szCs w:val="24"/>
          <w:lang w:val="en-NZ"/>
        </w:rPr>
        <w:t xml:space="preserve"> and</w:t>
      </w:r>
      <w:r w:rsidR="362D5F61" w:rsidRPr="1C714392">
        <w:rPr>
          <w:rStyle w:val="normaltextrun"/>
          <w:rFonts w:ascii="Arial" w:eastAsia="Arial" w:hAnsi="Arial" w:cs="Arial"/>
          <w:color w:val="000000" w:themeColor="text1"/>
          <w:sz w:val="24"/>
          <w:szCs w:val="24"/>
          <w:lang w:val="en-NZ"/>
        </w:rPr>
        <w:t xml:space="preserve"> embark on</w:t>
      </w:r>
      <w:r w:rsidRPr="1C714392">
        <w:rPr>
          <w:rStyle w:val="normaltextrun"/>
          <w:rFonts w:ascii="Arial" w:eastAsia="Arial" w:hAnsi="Arial" w:cs="Arial"/>
          <w:color w:val="000000" w:themeColor="text1"/>
          <w:sz w:val="24"/>
          <w:szCs w:val="24"/>
          <w:lang w:val="en-NZ"/>
        </w:rPr>
        <w:t xml:space="preserve"> </w:t>
      </w:r>
      <w:r w:rsidR="70362030" w:rsidRPr="1C714392">
        <w:rPr>
          <w:rStyle w:val="normaltextrun"/>
          <w:rFonts w:ascii="Arial" w:eastAsia="Arial" w:hAnsi="Arial" w:cs="Arial"/>
          <w:color w:val="000000" w:themeColor="text1"/>
          <w:sz w:val="24"/>
          <w:szCs w:val="24"/>
          <w:lang w:val="en-NZ"/>
        </w:rPr>
        <w:t>full collaboration in the analysis and report writing p</w:t>
      </w:r>
      <w:r w:rsidR="6E6BAE2E" w:rsidRPr="1C714392">
        <w:rPr>
          <w:rStyle w:val="normaltextrun"/>
          <w:rFonts w:ascii="Arial" w:eastAsia="Arial" w:hAnsi="Arial" w:cs="Arial"/>
          <w:color w:val="000000" w:themeColor="text1"/>
          <w:sz w:val="24"/>
          <w:szCs w:val="24"/>
          <w:lang w:val="en-NZ"/>
        </w:rPr>
        <w:t>hases</w:t>
      </w:r>
      <w:r w:rsidR="70362030" w:rsidRPr="1C714392">
        <w:rPr>
          <w:rStyle w:val="normaltextrun"/>
          <w:rFonts w:ascii="Arial" w:eastAsia="Arial" w:hAnsi="Arial" w:cs="Arial"/>
          <w:color w:val="000000" w:themeColor="text1"/>
          <w:sz w:val="24"/>
          <w:szCs w:val="24"/>
          <w:lang w:val="en-NZ"/>
        </w:rPr>
        <w:t>.</w:t>
      </w:r>
    </w:p>
    <w:p w14:paraId="0AA68C87" w14:textId="2AE14A35" w:rsidR="79448C07" w:rsidRPr="0062289C" w:rsidRDefault="70362030" w:rsidP="79448C07">
      <w:pPr>
        <w:spacing w:line="360" w:lineRule="auto"/>
        <w:rPr>
          <w:rStyle w:val="normaltextrun"/>
          <w:rFonts w:ascii="Arial" w:eastAsia="Arial" w:hAnsi="Arial" w:cs="Arial"/>
          <w:color w:val="000000" w:themeColor="text1"/>
          <w:sz w:val="24"/>
          <w:szCs w:val="24"/>
        </w:rPr>
      </w:pPr>
      <w:r w:rsidRPr="4638D92F">
        <w:rPr>
          <w:rStyle w:val="normaltextrun"/>
          <w:rFonts w:ascii="Arial" w:eastAsia="Arial" w:hAnsi="Arial" w:cs="Arial"/>
          <w:color w:val="000000" w:themeColor="text1"/>
          <w:sz w:val="24"/>
          <w:szCs w:val="24"/>
        </w:rPr>
        <w:t xml:space="preserve">Only through carrying out the research in partnership with each of the identified </w:t>
      </w:r>
      <w:r w:rsidR="6F5C62CD" w:rsidRPr="4638D92F">
        <w:rPr>
          <w:rStyle w:val="normaltextrun"/>
          <w:rFonts w:ascii="Arial" w:eastAsia="Arial" w:hAnsi="Arial" w:cs="Arial"/>
          <w:color w:val="000000" w:themeColor="text1"/>
          <w:sz w:val="24"/>
          <w:szCs w:val="24"/>
        </w:rPr>
        <w:t>equity</w:t>
      </w:r>
      <w:r w:rsidRPr="4638D92F">
        <w:rPr>
          <w:rStyle w:val="normaltextrun"/>
          <w:rFonts w:ascii="Arial" w:eastAsia="Arial" w:hAnsi="Arial" w:cs="Arial"/>
          <w:color w:val="000000" w:themeColor="text1"/>
          <w:sz w:val="24"/>
          <w:szCs w:val="24"/>
        </w:rPr>
        <w:t xml:space="preserve"> groups - Māori,</w:t>
      </w:r>
      <w:r w:rsidR="471A903D" w:rsidRPr="4638D92F">
        <w:rPr>
          <w:rStyle w:val="normaltextrun"/>
          <w:rFonts w:ascii="Arial" w:eastAsia="Arial" w:hAnsi="Arial" w:cs="Arial"/>
          <w:color w:val="000000" w:themeColor="text1"/>
          <w:sz w:val="24"/>
          <w:szCs w:val="24"/>
        </w:rPr>
        <w:t xml:space="preserve"> Disabled</w:t>
      </w:r>
      <w:r w:rsidR="036C6FCE" w:rsidRPr="4638D92F">
        <w:rPr>
          <w:rStyle w:val="normaltextrun"/>
          <w:rFonts w:ascii="Arial" w:eastAsia="Arial" w:hAnsi="Arial" w:cs="Arial"/>
          <w:color w:val="000000" w:themeColor="text1"/>
          <w:sz w:val="24"/>
          <w:szCs w:val="24"/>
        </w:rPr>
        <w:t xml:space="preserve">, </w:t>
      </w:r>
      <w:r w:rsidRPr="4638D92F">
        <w:rPr>
          <w:rStyle w:val="normaltextrun"/>
          <w:rFonts w:ascii="Arial" w:eastAsia="Arial" w:hAnsi="Arial" w:cs="Arial"/>
          <w:color w:val="000000" w:themeColor="text1"/>
          <w:sz w:val="24"/>
          <w:szCs w:val="24"/>
        </w:rPr>
        <w:t>Pasifika,</w:t>
      </w:r>
      <w:r w:rsidR="73D0B009" w:rsidRPr="4638D92F">
        <w:rPr>
          <w:rStyle w:val="normaltextrun"/>
          <w:rFonts w:ascii="Arial" w:eastAsia="Arial" w:hAnsi="Arial" w:cs="Arial"/>
          <w:color w:val="000000" w:themeColor="text1"/>
          <w:sz w:val="24"/>
          <w:szCs w:val="24"/>
        </w:rPr>
        <w:t xml:space="preserve"> and Asian</w:t>
      </w:r>
      <w:r w:rsidR="5A741A2D" w:rsidRPr="4638D92F">
        <w:rPr>
          <w:rStyle w:val="normaltextrun"/>
          <w:rFonts w:ascii="Arial" w:eastAsia="Arial" w:hAnsi="Arial" w:cs="Arial"/>
          <w:color w:val="000000" w:themeColor="text1"/>
          <w:sz w:val="24"/>
          <w:szCs w:val="24"/>
        </w:rPr>
        <w:t xml:space="preserve"> – </w:t>
      </w:r>
      <w:r w:rsidR="73D0B009" w:rsidRPr="4638D92F">
        <w:rPr>
          <w:rStyle w:val="normaltextrun"/>
          <w:rFonts w:ascii="Arial" w:eastAsia="Arial" w:hAnsi="Arial" w:cs="Arial"/>
          <w:color w:val="000000" w:themeColor="text1"/>
          <w:sz w:val="24"/>
          <w:szCs w:val="24"/>
        </w:rPr>
        <w:t>will</w:t>
      </w:r>
      <w:r w:rsidRPr="4638D92F">
        <w:rPr>
          <w:rStyle w:val="normaltextrun"/>
          <w:rFonts w:ascii="Arial" w:eastAsia="Arial" w:hAnsi="Arial" w:cs="Arial"/>
          <w:color w:val="000000" w:themeColor="text1"/>
          <w:sz w:val="24"/>
          <w:szCs w:val="24"/>
        </w:rPr>
        <w:t xml:space="preserve"> </w:t>
      </w:r>
      <w:r w:rsidR="5A741A2D" w:rsidRPr="4638D92F">
        <w:rPr>
          <w:rStyle w:val="normaltextrun"/>
          <w:rFonts w:ascii="Arial" w:eastAsia="Arial" w:hAnsi="Arial" w:cs="Arial"/>
          <w:color w:val="000000" w:themeColor="text1"/>
          <w:sz w:val="24"/>
          <w:szCs w:val="24"/>
        </w:rPr>
        <w:t xml:space="preserve">ACC </w:t>
      </w:r>
      <w:r w:rsidR="5A7AC12C" w:rsidRPr="4638D92F">
        <w:rPr>
          <w:rStyle w:val="normaltextrun"/>
          <w:rFonts w:ascii="Arial" w:eastAsia="Arial" w:hAnsi="Arial" w:cs="Arial"/>
          <w:color w:val="000000" w:themeColor="text1"/>
          <w:sz w:val="24"/>
          <w:szCs w:val="24"/>
        </w:rPr>
        <w:t>and its future Ministers</w:t>
      </w:r>
      <w:r w:rsidR="5A741A2D" w:rsidRPr="4638D92F">
        <w:rPr>
          <w:rStyle w:val="normaltextrun"/>
          <w:rFonts w:ascii="Arial" w:eastAsia="Arial" w:hAnsi="Arial" w:cs="Arial"/>
          <w:color w:val="000000" w:themeColor="text1"/>
          <w:sz w:val="24"/>
          <w:szCs w:val="24"/>
        </w:rPr>
        <w:t xml:space="preserve"> come to</w:t>
      </w:r>
      <w:r w:rsidR="53AD8041" w:rsidRPr="4638D92F">
        <w:rPr>
          <w:rStyle w:val="normaltextrun"/>
          <w:rFonts w:ascii="Arial" w:eastAsia="Arial" w:hAnsi="Arial" w:cs="Arial"/>
          <w:color w:val="000000" w:themeColor="text1"/>
          <w:sz w:val="24"/>
          <w:szCs w:val="24"/>
        </w:rPr>
        <w:t xml:space="preserve"> truly</w:t>
      </w:r>
      <w:r w:rsidR="5A741A2D" w:rsidRPr="4638D92F">
        <w:rPr>
          <w:rStyle w:val="normaltextrun"/>
          <w:rFonts w:ascii="Arial" w:eastAsia="Arial" w:hAnsi="Arial" w:cs="Arial"/>
          <w:color w:val="000000" w:themeColor="text1"/>
          <w:sz w:val="24"/>
          <w:szCs w:val="24"/>
        </w:rPr>
        <w:t xml:space="preserve"> understand some of the issues we have outlined above plus any others identified </w:t>
      </w:r>
      <w:r w:rsidR="7BAF9EAE" w:rsidRPr="4638D92F">
        <w:rPr>
          <w:rStyle w:val="normaltextrun"/>
          <w:rFonts w:ascii="Arial" w:eastAsia="Arial" w:hAnsi="Arial" w:cs="Arial"/>
          <w:color w:val="000000" w:themeColor="text1"/>
          <w:sz w:val="24"/>
          <w:szCs w:val="24"/>
        </w:rPr>
        <w:t>during the investigative phase</w:t>
      </w:r>
      <w:r w:rsidR="5A741A2D" w:rsidRPr="4638D92F">
        <w:rPr>
          <w:rStyle w:val="normaltextrun"/>
          <w:rFonts w:ascii="Arial" w:eastAsia="Arial" w:hAnsi="Arial" w:cs="Arial"/>
          <w:color w:val="000000" w:themeColor="text1"/>
          <w:sz w:val="24"/>
          <w:szCs w:val="24"/>
        </w:rPr>
        <w:t>.</w:t>
      </w:r>
      <w:r w:rsidR="157F63C6" w:rsidRPr="4638D92F">
        <w:rPr>
          <w:rStyle w:val="normaltextrun"/>
          <w:rFonts w:ascii="Arial" w:eastAsia="Arial" w:hAnsi="Arial" w:cs="Arial"/>
          <w:color w:val="000000" w:themeColor="text1"/>
          <w:sz w:val="24"/>
          <w:szCs w:val="24"/>
        </w:rPr>
        <w:t xml:space="preserve">  </w:t>
      </w:r>
      <w:r w:rsidR="0548DFBE" w:rsidRPr="4638D92F">
        <w:rPr>
          <w:rStyle w:val="normaltextrun"/>
          <w:rFonts w:ascii="Arial" w:eastAsia="Arial" w:hAnsi="Arial" w:cs="Arial"/>
          <w:color w:val="000000" w:themeColor="text1"/>
          <w:sz w:val="24"/>
          <w:szCs w:val="24"/>
        </w:rPr>
        <w:t xml:space="preserve">ACC </w:t>
      </w:r>
      <w:r w:rsidR="39849EF0" w:rsidRPr="4638D92F">
        <w:rPr>
          <w:rStyle w:val="normaltextrun"/>
          <w:rFonts w:ascii="Arial" w:eastAsia="Arial" w:hAnsi="Arial" w:cs="Arial"/>
          <w:color w:val="000000" w:themeColor="text1"/>
          <w:sz w:val="24"/>
          <w:szCs w:val="24"/>
        </w:rPr>
        <w:t xml:space="preserve">continues to use the American Medical Association guidelines, so an update </w:t>
      </w:r>
      <w:r w:rsidR="47C1E2C2" w:rsidRPr="4638D92F">
        <w:rPr>
          <w:rStyle w:val="normaltextrun"/>
          <w:rFonts w:ascii="Arial" w:eastAsia="Arial" w:hAnsi="Arial" w:cs="Arial"/>
          <w:color w:val="000000" w:themeColor="text1"/>
          <w:sz w:val="24"/>
          <w:szCs w:val="24"/>
        </w:rPr>
        <w:t xml:space="preserve">based </w:t>
      </w:r>
      <w:r w:rsidR="39849EF0" w:rsidRPr="4638D92F">
        <w:rPr>
          <w:rStyle w:val="normaltextrun"/>
          <w:rFonts w:ascii="Arial" w:eastAsia="Arial" w:hAnsi="Arial" w:cs="Arial"/>
          <w:color w:val="000000" w:themeColor="text1"/>
          <w:sz w:val="24"/>
          <w:szCs w:val="24"/>
        </w:rPr>
        <w:t xml:space="preserve">on </w:t>
      </w:r>
      <w:r w:rsidR="6881AB5A" w:rsidRPr="4638D92F">
        <w:rPr>
          <w:rStyle w:val="normaltextrun"/>
          <w:rFonts w:ascii="Arial" w:eastAsia="Arial" w:hAnsi="Arial" w:cs="Arial"/>
          <w:color w:val="000000" w:themeColor="text1"/>
          <w:sz w:val="24"/>
          <w:szCs w:val="24"/>
        </w:rPr>
        <w:t xml:space="preserve">New Zealand </w:t>
      </w:r>
      <w:r w:rsidR="39849EF0" w:rsidRPr="4638D92F">
        <w:rPr>
          <w:rStyle w:val="normaltextrun"/>
          <w:rFonts w:ascii="Arial" w:eastAsia="Arial" w:hAnsi="Arial" w:cs="Arial"/>
          <w:color w:val="000000" w:themeColor="text1"/>
          <w:sz w:val="24"/>
          <w:szCs w:val="24"/>
        </w:rPr>
        <w:t xml:space="preserve">guidelines </w:t>
      </w:r>
      <w:r w:rsidR="2347BDFD" w:rsidRPr="4638D92F">
        <w:rPr>
          <w:rStyle w:val="normaltextrun"/>
          <w:rFonts w:ascii="Arial" w:eastAsia="Arial" w:hAnsi="Arial" w:cs="Arial"/>
          <w:color w:val="000000" w:themeColor="text1"/>
          <w:sz w:val="24"/>
          <w:szCs w:val="24"/>
        </w:rPr>
        <w:t xml:space="preserve">in partnership with </w:t>
      </w:r>
      <w:r w:rsidR="24D06CC6" w:rsidRPr="4638D92F">
        <w:rPr>
          <w:rStyle w:val="normaltextrun"/>
          <w:rFonts w:ascii="Arial" w:eastAsia="Arial" w:hAnsi="Arial" w:cs="Arial"/>
          <w:color w:val="000000" w:themeColor="text1"/>
          <w:sz w:val="24"/>
          <w:szCs w:val="24"/>
        </w:rPr>
        <w:t xml:space="preserve">our equity groups would be beneficial </w:t>
      </w:r>
      <w:r w:rsidR="329B473E" w:rsidRPr="4638D92F">
        <w:rPr>
          <w:rStyle w:val="normaltextrun"/>
          <w:rFonts w:ascii="Arial" w:eastAsia="Arial" w:hAnsi="Arial" w:cs="Arial"/>
          <w:color w:val="000000" w:themeColor="text1"/>
          <w:sz w:val="24"/>
          <w:szCs w:val="24"/>
        </w:rPr>
        <w:t>too</w:t>
      </w:r>
      <w:r w:rsidRPr="4638D92F">
        <w:rPr>
          <w:rStyle w:val="FootnoteReference"/>
          <w:rFonts w:ascii="Arial" w:eastAsia="Arial" w:hAnsi="Arial" w:cs="Arial"/>
          <w:color w:val="000000" w:themeColor="text1"/>
          <w:sz w:val="24"/>
          <w:szCs w:val="24"/>
        </w:rPr>
        <w:footnoteReference w:id="5"/>
      </w:r>
      <w:r w:rsidR="24D06CC6" w:rsidRPr="4638D92F">
        <w:rPr>
          <w:rStyle w:val="normaltextrun"/>
          <w:rFonts w:ascii="Arial" w:eastAsia="Arial" w:hAnsi="Arial" w:cs="Arial"/>
          <w:color w:val="000000" w:themeColor="text1"/>
          <w:sz w:val="24"/>
          <w:szCs w:val="24"/>
        </w:rPr>
        <w:t>.</w:t>
      </w:r>
    </w:p>
    <w:p w14:paraId="119F2470" w14:textId="62AE4D5B" w:rsidR="003C0A13" w:rsidRDefault="5A741A2D"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 xml:space="preserve">Through ACC using a co-design and co-research </w:t>
      </w:r>
      <w:r w:rsidR="63FBD50C" w:rsidRPr="1C714392">
        <w:rPr>
          <w:rStyle w:val="normaltextrun"/>
          <w:rFonts w:ascii="Arial" w:eastAsia="Arial" w:hAnsi="Arial" w:cs="Arial"/>
          <w:color w:val="000000" w:themeColor="text1"/>
          <w:sz w:val="24"/>
          <w:szCs w:val="24"/>
          <w:lang w:val="en-NZ"/>
        </w:rPr>
        <w:t>approach</w:t>
      </w:r>
      <w:r w:rsidRPr="1C714392">
        <w:rPr>
          <w:rStyle w:val="normaltextrun"/>
          <w:rFonts w:ascii="Arial" w:eastAsia="Arial" w:hAnsi="Arial" w:cs="Arial"/>
          <w:color w:val="000000" w:themeColor="text1"/>
          <w:sz w:val="24"/>
          <w:szCs w:val="24"/>
          <w:lang w:val="en-NZ"/>
        </w:rPr>
        <w:t xml:space="preserve"> will issues like trust and cooperation, especially with disabled people who may have</w:t>
      </w:r>
      <w:r w:rsidR="6322DEB2" w:rsidRPr="1C714392">
        <w:rPr>
          <w:rStyle w:val="normaltextrun"/>
          <w:rFonts w:ascii="Arial" w:eastAsia="Arial" w:hAnsi="Arial" w:cs="Arial"/>
          <w:color w:val="000000" w:themeColor="text1"/>
          <w:sz w:val="24"/>
          <w:szCs w:val="24"/>
          <w:lang w:val="en-NZ"/>
        </w:rPr>
        <w:t xml:space="preserve"> experienced</w:t>
      </w:r>
      <w:r w:rsidRPr="1C714392">
        <w:rPr>
          <w:rStyle w:val="normaltextrun"/>
          <w:rFonts w:ascii="Arial" w:eastAsia="Arial" w:hAnsi="Arial" w:cs="Arial"/>
          <w:color w:val="000000" w:themeColor="text1"/>
          <w:sz w:val="24"/>
          <w:szCs w:val="24"/>
          <w:lang w:val="en-NZ"/>
        </w:rPr>
        <w:t xml:space="preserve"> historical mistrust issues with the Corporation</w:t>
      </w:r>
      <w:r w:rsidR="32FFF2DA" w:rsidRPr="1C714392">
        <w:rPr>
          <w:rStyle w:val="normaltextrun"/>
          <w:rFonts w:ascii="Arial" w:eastAsia="Arial" w:hAnsi="Arial" w:cs="Arial"/>
          <w:color w:val="000000" w:themeColor="text1"/>
          <w:sz w:val="24"/>
          <w:szCs w:val="24"/>
          <w:lang w:val="en-NZ"/>
        </w:rPr>
        <w:t xml:space="preserve">, </w:t>
      </w:r>
      <w:r w:rsidRPr="1C714392">
        <w:rPr>
          <w:rStyle w:val="normaltextrun"/>
          <w:rFonts w:ascii="Arial" w:eastAsia="Arial" w:hAnsi="Arial" w:cs="Arial"/>
          <w:color w:val="000000" w:themeColor="text1"/>
          <w:sz w:val="24"/>
          <w:szCs w:val="24"/>
          <w:lang w:val="en-NZ"/>
        </w:rPr>
        <w:t>be overcome</w:t>
      </w:r>
      <w:r w:rsidR="186F0679" w:rsidRPr="1C714392">
        <w:rPr>
          <w:rStyle w:val="normaltextrun"/>
          <w:rFonts w:ascii="Arial" w:eastAsia="Arial" w:hAnsi="Arial" w:cs="Arial"/>
          <w:color w:val="000000" w:themeColor="text1"/>
          <w:sz w:val="24"/>
          <w:szCs w:val="24"/>
          <w:lang w:val="en-NZ"/>
        </w:rPr>
        <w:t xml:space="preserve"> through using Disabled People’s Organisations (including DPA) as part of</w:t>
      </w:r>
      <w:r w:rsidR="011B3F39" w:rsidRPr="1C714392">
        <w:rPr>
          <w:rStyle w:val="normaltextrun"/>
          <w:rFonts w:ascii="Arial" w:eastAsia="Arial" w:hAnsi="Arial" w:cs="Arial"/>
          <w:color w:val="000000" w:themeColor="text1"/>
          <w:sz w:val="24"/>
          <w:szCs w:val="24"/>
          <w:lang w:val="en-NZ"/>
        </w:rPr>
        <w:t xml:space="preserve"> the</w:t>
      </w:r>
      <w:r w:rsidR="186F0679" w:rsidRPr="1C714392">
        <w:rPr>
          <w:rStyle w:val="normaltextrun"/>
          <w:rFonts w:ascii="Arial" w:eastAsia="Arial" w:hAnsi="Arial" w:cs="Arial"/>
          <w:color w:val="000000" w:themeColor="text1"/>
          <w:sz w:val="24"/>
          <w:szCs w:val="24"/>
          <w:lang w:val="en-NZ"/>
        </w:rPr>
        <w:t xml:space="preserve"> </w:t>
      </w:r>
      <w:r w:rsidR="2FFFC7DF" w:rsidRPr="1C714392">
        <w:rPr>
          <w:rStyle w:val="normaltextrun"/>
          <w:rFonts w:ascii="Arial" w:eastAsia="Arial" w:hAnsi="Arial" w:cs="Arial"/>
          <w:color w:val="000000" w:themeColor="text1"/>
          <w:sz w:val="24"/>
          <w:szCs w:val="24"/>
          <w:lang w:val="en-NZ"/>
        </w:rPr>
        <w:t>information sharing and outreach process</w:t>
      </w:r>
      <w:r w:rsidR="03FDE481" w:rsidRPr="1C714392">
        <w:rPr>
          <w:rStyle w:val="normaltextrun"/>
          <w:rFonts w:ascii="Arial" w:eastAsia="Arial" w:hAnsi="Arial" w:cs="Arial"/>
          <w:color w:val="000000" w:themeColor="text1"/>
          <w:sz w:val="24"/>
          <w:szCs w:val="24"/>
          <w:lang w:val="en-NZ"/>
        </w:rPr>
        <w:t xml:space="preserve"> for each report.</w:t>
      </w:r>
    </w:p>
    <w:p w14:paraId="642D205F" w14:textId="1E8C3A75" w:rsidR="003C0A13" w:rsidRDefault="17B63801"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An example of a</w:t>
      </w:r>
      <w:r w:rsidR="03D174D6" w:rsidRPr="1C714392">
        <w:rPr>
          <w:rStyle w:val="normaltextrun"/>
          <w:rFonts w:ascii="Arial" w:eastAsia="Arial" w:hAnsi="Arial" w:cs="Arial"/>
          <w:color w:val="000000" w:themeColor="text1"/>
          <w:sz w:val="24"/>
          <w:szCs w:val="24"/>
          <w:lang w:val="en-NZ"/>
        </w:rPr>
        <w:t xml:space="preserve"> very successful </w:t>
      </w:r>
      <w:r w:rsidR="2FFFC7DF" w:rsidRPr="1C714392">
        <w:rPr>
          <w:rStyle w:val="normaltextrun"/>
          <w:rFonts w:ascii="Arial" w:eastAsia="Arial" w:hAnsi="Arial" w:cs="Arial"/>
          <w:color w:val="000000" w:themeColor="text1"/>
          <w:sz w:val="24"/>
          <w:szCs w:val="24"/>
          <w:lang w:val="en-NZ"/>
        </w:rPr>
        <w:t>co-research project</w:t>
      </w:r>
      <w:r w:rsidR="2A16D221" w:rsidRPr="1C714392">
        <w:rPr>
          <w:rStyle w:val="normaltextrun"/>
          <w:rFonts w:ascii="Arial" w:eastAsia="Arial" w:hAnsi="Arial" w:cs="Arial"/>
          <w:color w:val="000000" w:themeColor="text1"/>
          <w:sz w:val="24"/>
          <w:szCs w:val="24"/>
          <w:lang w:val="en-NZ"/>
        </w:rPr>
        <w:t xml:space="preserve"> is that undertaken by DPA</w:t>
      </w:r>
      <w:r w:rsidR="2FFFC7DF" w:rsidRPr="1C714392">
        <w:rPr>
          <w:rStyle w:val="normaltextrun"/>
          <w:rFonts w:ascii="Arial" w:eastAsia="Arial" w:hAnsi="Arial" w:cs="Arial"/>
          <w:color w:val="000000" w:themeColor="text1"/>
          <w:sz w:val="24"/>
          <w:szCs w:val="24"/>
          <w:lang w:val="en-NZ"/>
        </w:rPr>
        <w:t xml:space="preserve"> with Waka Kotahi – New Zealand Transport Agency in producing </w:t>
      </w:r>
      <w:r w:rsidR="1C3A23DA" w:rsidRPr="1C714392">
        <w:rPr>
          <w:rStyle w:val="normaltextrun"/>
          <w:rFonts w:ascii="Arial" w:eastAsia="Arial" w:hAnsi="Arial" w:cs="Arial"/>
          <w:color w:val="000000" w:themeColor="text1"/>
          <w:sz w:val="24"/>
          <w:szCs w:val="24"/>
          <w:lang w:val="en-NZ"/>
        </w:rPr>
        <w:t>its</w:t>
      </w:r>
      <w:r w:rsidR="2FFFC7DF" w:rsidRPr="1C714392">
        <w:rPr>
          <w:rStyle w:val="normaltextrun"/>
          <w:rFonts w:ascii="Arial" w:eastAsia="Arial" w:hAnsi="Arial" w:cs="Arial"/>
          <w:color w:val="000000" w:themeColor="text1"/>
          <w:sz w:val="24"/>
          <w:szCs w:val="24"/>
          <w:lang w:val="en-NZ"/>
        </w:rPr>
        <w:t xml:space="preserve"> report </w:t>
      </w:r>
      <w:r w:rsidR="73D81968" w:rsidRPr="1C714392">
        <w:rPr>
          <w:rStyle w:val="normaltextrun"/>
          <w:rFonts w:ascii="Arial" w:eastAsia="Arial" w:hAnsi="Arial" w:cs="Arial"/>
          <w:color w:val="000000" w:themeColor="text1"/>
          <w:sz w:val="24"/>
          <w:szCs w:val="24"/>
          <w:lang w:val="en-NZ"/>
        </w:rPr>
        <w:t>“Transport experiences of disabled people Aotearoa New Zealand</w:t>
      </w:r>
      <w:r w:rsidR="0687AA73" w:rsidRPr="1C714392">
        <w:rPr>
          <w:rStyle w:val="normaltextrun"/>
          <w:rFonts w:ascii="Arial" w:eastAsia="Arial" w:hAnsi="Arial" w:cs="Arial"/>
          <w:color w:val="000000" w:themeColor="text1"/>
          <w:sz w:val="24"/>
          <w:szCs w:val="24"/>
          <w:lang w:val="en-NZ"/>
        </w:rPr>
        <w:t>” (2022)</w:t>
      </w:r>
      <w:r w:rsidR="003C0A13" w:rsidRPr="1C714392">
        <w:rPr>
          <w:rStyle w:val="FootnoteReference"/>
          <w:rFonts w:ascii="Arial" w:eastAsia="Arial" w:hAnsi="Arial" w:cs="Arial"/>
          <w:color w:val="000000" w:themeColor="text1"/>
          <w:sz w:val="24"/>
          <w:szCs w:val="24"/>
          <w:lang w:val="en-NZ"/>
        </w:rPr>
        <w:footnoteReference w:id="6"/>
      </w:r>
      <w:r w:rsidR="5CD42605" w:rsidRPr="1C714392">
        <w:rPr>
          <w:rStyle w:val="normaltextrun"/>
          <w:rFonts w:ascii="Arial" w:eastAsia="Arial" w:hAnsi="Arial" w:cs="Arial"/>
          <w:color w:val="000000" w:themeColor="text1"/>
          <w:sz w:val="24"/>
          <w:szCs w:val="24"/>
          <w:lang w:val="en-NZ"/>
        </w:rPr>
        <w:t xml:space="preserve"> which enabled over 20,000 disabled New Zealanders to feedback on their experiences of using our transport system.</w:t>
      </w:r>
    </w:p>
    <w:p w14:paraId="4BADA34D" w14:textId="20C0FD35" w:rsidR="003C0A13" w:rsidRDefault="2D109360"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t xml:space="preserve">DPA endorses, notwithstanding </w:t>
      </w:r>
      <w:r w:rsidR="3E327FA6" w:rsidRPr="1C714392">
        <w:rPr>
          <w:rStyle w:val="normaltextrun"/>
          <w:rFonts w:ascii="Arial" w:eastAsia="Arial" w:hAnsi="Arial" w:cs="Arial"/>
          <w:color w:val="000000" w:themeColor="text1"/>
          <w:sz w:val="24"/>
          <w:szCs w:val="24"/>
          <w:lang w:val="en-NZ"/>
        </w:rPr>
        <w:t>all</w:t>
      </w:r>
      <w:r w:rsidRPr="1C714392">
        <w:rPr>
          <w:rStyle w:val="normaltextrun"/>
          <w:rFonts w:ascii="Arial" w:eastAsia="Arial" w:hAnsi="Arial" w:cs="Arial"/>
          <w:color w:val="000000" w:themeColor="text1"/>
          <w:sz w:val="24"/>
          <w:szCs w:val="24"/>
          <w:lang w:val="en-NZ"/>
        </w:rPr>
        <w:t xml:space="preserve"> we have stated above, the need for a systemic overhaul of our two</w:t>
      </w:r>
      <w:r w:rsidR="6BB57891" w:rsidRPr="1C714392">
        <w:rPr>
          <w:rStyle w:val="normaltextrun"/>
          <w:rFonts w:ascii="Arial" w:eastAsia="Arial" w:hAnsi="Arial" w:cs="Arial"/>
          <w:color w:val="000000" w:themeColor="text1"/>
          <w:sz w:val="24"/>
          <w:szCs w:val="24"/>
          <w:lang w:val="en-NZ"/>
        </w:rPr>
        <w:t>-tiered</w:t>
      </w:r>
      <w:r w:rsidRPr="1C714392">
        <w:rPr>
          <w:rStyle w:val="normaltextrun"/>
          <w:rFonts w:ascii="Arial" w:eastAsia="Arial" w:hAnsi="Arial" w:cs="Arial"/>
          <w:color w:val="000000" w:themeColor="text1"/>
          <w:sz w:val="24"/>
          <w:szCs w:val="24"/>
          <w:lang w:val="en-NZ"/>
        </w:rPr>
        <w:t xml:space="preserve"> disability support system</w:t>
      </w:r>
      <w:r w:rsidR="2A5A5DC3" w:rsidRPr="1C714392">
        <w:rPr>
          <w:rStyle w:val="normaltextrun"/>
          <w:rFonts w:ascii="Arial" w:eastAsia="Arial" w:hAnsi="Arial" w:cs="Arial"/>
          <w:color w:val="000000" w:themeColor="text1"/>
          <w:sz w:val="24"/>
          <w:szCs w:val="24"/>
          <w:lang w:val="en-NZ"/>
        </w:rPr>
        <w:t xml:space="preserve"> towards being </w:t>
      </w:r>
      <w:r w:rsidR="22A0BA3E" w:rsidRPr="1C714392">
        <w:rPr>
          <w:rStyle w:val="normaltextrun"/>
          <w:rFonts w:ascii="Arial" w:eastAsia="Arial" w:hAnsi="Arial" w:cs="Arial"/>
          <w:color w:val="000000" w:themeColor="text1"/>
          <w:sz w:val="24"/>
          <w:szCs w:val="24"/>
          <w:lang w:val="en-NZ"/>
        </w:rPr>
        <w:t>the</w:t>
      </w:r>
      <w:r w:rsidR="2A5A5DC3" w:rsidRPr="1C714392">
        <w:rPr>
          <w:rStyle w:val="normaltextrun"/>
          <w:rFonts w:ascii="Arial" w:eastAsia="Arial" w:hAnsi="Arial" w:cs="Arial"/>
          <w:color w:val="000000" w:themeColor="text1"/>
          <w:sz w:val="24"/>
          <w:szCs w:val="24"/>
          <w:lang w:val="en-NZ"/>
        </w:rPr>
        <w:t xml:space="preserve"> single</w:t>
      </w:r>
      <w:r w:rsidR="1CBBF9F0" w:rsidRPr="1C714392">
        <w:rPr>
          <w:rStyle w:val="normaltextrun"/>
          <w:rFonts w:ascii="Arial" w:eastAsia="Arial" w:hAnsi="Arial" w:cs="Arial"/>
          <w:color w:val="000000" w:themeColor="text1"/>
          <w:sz w:val="24"/>
          <w:szCs w:val="24"/>
          <w:lang w:val="en-NZ"/>
        </w:rPr>
        <w:t>-payer</w:t>
      </w:r>
      <w:r w:rsidR="2A5A5DC3" w:rsidRPr="1C714392">
        <w:rPr>
          <w:rStyle w:val="normaltextrun"/>
          <w:rFonts w:ascii="Arial" w:eastAsia="Arial" w:hAnsi="Arial" w:cs="Arial"/>
          <w:color w:val="000000" w:themeColor="text1"/>
          <w:sz w:val="24"/>
          <w:szCs w:val="24"/>
          <w:lang w:val="en-NZ"/>
        </w:rPr>
        <w:t>, universal, sustainable one</w:t>
      </w:r>
      <w:r w:rsidRPr="1C714392">
        <w:rPr>
          <w:rStyle w:val="normaltextrun"/>
          <w:rFonts w:ascii="Arial" w:eastAsia="Arial" w:hAnsi="Arial" w:cs="Arial"/>
          <w:color w:val="000000" w:themeColor="text1"/>
          <w:sz w:val="24"/>
          <w:szCs w:val="24"/>
          <w:lang w:val="en-NZ"/>
        </w:rPr>
        <w:t xml:space="preserve"> </w:t>
      </w:r>
      <w:r w:rsidR="4B07EB2A" w:rsidRPr="1C714392">
        <w:rPr>
          <w:rStyle w:val="normaltextrun"/>
          <w:rFonts w:ascii="Arial" w:eastAsia="Arial" w:hAnsi="Arial" w:cs="Arial"/>
          <w:color w:val="000000" w:themeColor="text1"/>
          <w:sz w:val="24"/>
          <w:szCs w:val="24"/>
          <w:lang w:val="en-NZ"/>
        </w:rPr>
        <w:t>recommended in the Forster Report.</w:t>
      </w:r>
    </w:p>
    <w:p w14:paraId="6E510BF0" w14:textId="3FC85587" w:rsidR="003C0A13" w:rsidRDefault="18BA5A91" w:rsidP="1C714392">
      <w:pPr>
        <w:spacing w:line="360" w:lineRule="auto"/>
        <w:rPr>
          <w:rStyle w:val="normaltextrun"/>
          <w:rFonts w:ascii="Arial" w:eastAsia="Arial" w:hAnsi="Arial" w:cs="Arial"/>
          <w:color w:val="000000" w:themeColor="text1"/>
          <w:sz w:val="24"/>
          <w:szCs w:val="24"/>
          <w:lang w:val="en-NZ"/>
        </w:rPr>
      </w:pPr>
      <w:r w:rsidRPr="516881D8">
        <w:rPr>
          <w:rStyle w:val="normaltextrun"/>
          <w:rFonts w:ascii="Arial" w:eastAsia="Arial" w:hAnsi="Arial" w:cs="Arial"/>
          <w:color w:val="000000" w:themeColor="text1"/>
          <w:sz w:val="24"/>
          <w:szCs w:val="24"/>
          <w:lang w:val="en-NZ"/>
        </w:rPr>
        <w:t xml:space="preserve">In DPA’s view, </w:t>
      </w:r>
      <w:r w:rsidR="09ACD05C" w:rsidRPr="516881D8">
        <w:rPr>
          <w:rStyle w:val="normaltextrun"/>
          <w:rFonts w:ascii="Arial" w:eastAsia="Arial" w:hAnsi="Arial" w:cs="Arial"/>
          <w:color w:val="000000" w:themeColor="text1"/>
          <w:sz w:val="24"/>
          <w:szCs w:val="24"/>
          <w:lang w:val="en-NZ"/>
        </w:rPr>
        <w:t>all the energy that will be expended in producing three separate reports on improving service access to the existing ACC system for currently disadvantaged groups, many of the answers already lie in earlier research, including that con</w:t>
      </w:r>
      <w:r w:rsidR="6F65D958" w:rsidRPr="516881D8">
        <w:rPr>
          <w:rStyle w:val="normaltextrun"/>
          <w:rFonts w:ascii="Arial" w:eastAsia="Arial" w:hAnsi="Arial" w:cs="Arial"/>
          <w:color w:val="000000" w:themeColor="text1"/>
          <w:sz w:val="24"/>
          <w:szCs w:val="24"/>
          <w:lang w:val="en-NZ"/>
        </w:rPr>
        <w:t>tained in the Forster Report.</w:t>
      </w:r>
    </w:p>
    <w:p w14:paraId="783042F6" w14:textId="41317F5E" w:rsidR="003C0A13" w:rsidRDefault="3966893E" w:rsidP="1C714392">
      <w:pPr>
        <w:spacing w:line="360" w:lineRule="auto"/>
        <w:rPr>
          <w:rStyle w:val="normaltextrun"/>
          <w:rFonts w:ascii="Arial" w:eastAsia="Arial" w:hAnsi="Arial" w:cs="Arial"/>
          <w:color w:val="000000" w:themeColor="text1"/>
          <w:sz w:val="24"/>
          <w:szCs w:val="24"/>
          <w:lang w:val="en-NZ"/>
        </w:rPr>
      </w:pPr>
      <w:r w:rsidRPr="1C714392">
        <w:rPr>
          <w:rStyle w:val="normaltextrun"/>
          <w:rFonts w:ascii="Arial" w:eastAsia="Arial" w:hAnsi="Arial" w:cs="Arial"/>
          <w:color w:val="000000" w:themeColor="text1"/>
          <w:sz w:val="24"/>
          <w:szCs w:val="24"/>
          <w:lang w:val="en-NZ"/>
        </w:rPr>
        <w:lastRenderedPageBreak/>
        <w:t>However, we recognise</w:t>
      </w:r>
      <w:r w:rsidR="6F65D958" w:rsidRPr="1C714392">
        <w:rPr>
          <w:rStyle w:val="normaltextrun"/>
          <w:rFonts w:ascii="Arial" w:eastAsia="Arial" w:hAnsi="Arial" w:cs="Arial"/>
          <w:color w:val="000000" w:themeColor="text1"/>
          <w:sz w:val="24"/>
          <w:szCs w:val="24"/>
          <w:lang w:val="en-NZ"/>
        </w:rPr>
        <w:t xml:space="preserve"> that while</w:t>
      </w:r>
      <w:r w:rsidR="3C92B7E3" w:rsidRPr="1C714392">
        <w:rPr>
          <w:rStyle w:val="normaltextrun"/>
          <w:rFonts w:ascii="Arial" w:eastAsia="Arial" w:hAnsi="Arial" w:cs="Arial"/>
          <w:color w:val="000000" w:themeColor="text1"/>
          <w:sz w:val="24"/>
          <w:szCs w:val="24"/>
          <w:lang w:val="en-NZ"/>
        </w:rPr>
        <w:t xml:space="preserve"> the </w:t>
      </w:r>
      <w:r w:rsidR="6F65D958" w:rsidRPr="1C714392">
        <w:rPr>
          <w:rStyle w:val="normaltextrun"/>
          <w:rFonts w:ascii="Arial" w:eastAsia="Arial" w:hAnsi="Arial" w:cs="Arial"/>
          <w:color w:val="000000" w:themeColor="text1"/>
          <w:sz w:val="24"/>
          <w:szCs w:val="24"/>
          <w:lang w:val="en-NZ"/>
        </w:rPr>
        <w:t xml:space="preserve">current fragmented disability system </w:t>
      </w:r>
      <w:r w:rsidR="780B6E6F" w:rsidRPr="1C714392">
        <w:rPr>
          <w:rStyle w:val="normaltextrun"/>
          <w:rFonts w:ascii="Arial" w:eastAsia="Arial" w:hAnsi="Arial" w:cs="Arial"/>
          <w:color w:val="000000" w:themeColor="text1"/>
          <w:sz w:val="24"/>
          <w:szCs w:val="24"/>
          <w:lang w:val="en-NZ"/>
        </w:rPr>
        <w:t>exists</w:t>
      </w:r>
      <w:r w:rsidR="6F65D958" w:rsidRPr="1C714392">
        <w:rPr>
          <w:rStyle w:val="normaltextrun"/>
          <w:rFonts w:ascii="Arial" w:eastAsia="Arial" w:hAnsi="Arial" w:cs="Arial"/>
          <w:color w:val="000000" w:themeColor="text1"/>
          <w:sz w:val="24"/>
          <w:szCs w:val="24"/>
          <w:lang w:val="en-NZ"/>
        </w:rPr>
        <w:t xml:space="preserve"> that it </w:t>
      </w:r>
      <w:r w:rsidR="692E5CA2" w:rsidRPr="1C714392">
        <w:rPr>
          <w:rStyle w:val="normaltextrun"/>
          <w:rFonts w:ascii="Arial" w:eastAsia="Arial" w:hAnsi="Arial" w:cs="Arial"/>
          <w:color w:val="000000" w:themeColor="text1"/>
          <w:sz w:val="24"/>
          <w:szCs w:val="24"/>
          <w:lang w:val="en-NZ"/>
        </w:rPr>
        <w:t xml:space="preserve">is prudent for further research to be carried out which may further validate many of the points made in the Forster Report and/or uncover new inequities </w:t>
      </w:r>
      <w:r w:rsidR="6E341E91" w:rsidRPr="1C714392">
        <w:rPr>
          <w:rStyle w:val="normaltextrun"/>
          <w:rFonts w:ascii="Arial" w:eastAsia="Arial" w:hAnsi="Arial" w:cs="Arial"/>
          <w:color w:val="000000" w:themeColor="text1"/>
          <w:sz w:val="24"/>
          <w:szCs w:val="24"/>
          <w:lang w:val="en-NZ"/>
        </w:rPr>
        <w:t>needing further exploration</w:t>
      </w:r>
      <w:r w:rsidR="58D631E3" w:rsidRPr="6A7D8DD1">
        <w:rPr>
          <w:rStyle w:val="normaltextrun"/>
          <w:rFonts w:ascii="Arial" w:eastAsia="Arial" w:hAnsi="Arial" w:cs="Arial"/>
          <w:color w:val="000000" w:themeColor="text1"/>
          <w:sz w:val="24"/>
          <w:szCs w:val="24"/>
          <w:lang w:val="en-NZ"/>
        </w:rPr>
        <w:t xml:space="preserve"> and policy decisions by Ministers</w:t>
      </w:r>
      <w:r w:rsidR="6E341E91" w:rsidRPr="1C714392">
        <w:rPr>
          <w:rStyle w:val="normaltextrun"/>
          <w:rFonts w:ascii="Arial" w:eastAsia="Arial" w:hAnsi="Arial" w:cs="Arial"/>
          <w:color w:val="000000" w:themeColor="text1"/>
          <w:sz w:val="24"/>
          <w:szCs w:val="24"/>
          <w:lang w:val="en-NZ"/>
        </w:rPr>
        <w:t>.</w:t>
      </w:r>
    </w:p>
    <w:p w14:paraId="4F745EA3" w14:textId="0B83412A" w:rsidR="003C0A13" w:rsidRDefault="4F1B721A" w:rsidP="1C714392">
      <w:pPr>
        <w:spacing w:line="360" w:lineRule="auto"/>
        <w:rPr>
          <w:rStyle w:val="normaltextrun"/>
          <w:rFonts w:ascii="Arial" w:eastAsia="Arial" w:hAnsi="Arial" w:cs="Arial"/>
          <w:color w:val="000000" w:themeColor="text1"/>
          <w:sz w:val="24"/>
          <w:szCs w:val="24"/>
          <w:lang w:val="en-NZ"/>
        </w:rPr>
      </w:pPr>
      <w:r w:rsidRPr="6A7D8DD1">
        <w:rPr>
          <w:rStyle w:val="normaltextrun"/>
          <w:rFonts w:ascii="Arial" w:eastAsia="Arial" w:hAnsi="Arial" w:cs="Arial"/>
          <w:color w:val="000000" w:themeColor="text1"/>
          <w:sz w:val="24"/>
          <w:szCs w:val="24"/>
          <w:lang w:val="en-NZ"/>
        </w:rPr>
        <w:t>From DPA’s perspective, if</w:t>
      </w:r>
      <w:r w:rsidR="62A5A7C8" w:rsidRPr="1C714392">
        <w:rPr>
          <w:rStyle w:val="normaltextrun"/>
          <w:rFonts w:ascii="Arial" w:eastAsia="Arial" w:hAnsi="Arial" w:cs="Arial"/>
          <w:color w:val="000000" w:themeColor="text1"/>
          <w:sz w:val="24"/>
          <w:szCs w:val="24"/>
          <w:lang w:val="en-NZ"/>
        </w:rPr>
        <w:t xml:space="preserve"> better research means that ACC improves its services and supports to reach more disabled people, then this would be positive but more comprehensive</w:t>
      </w:r>
      <w:r w:rsidR="5ADF090B" w:rsidRPr="1C714392">
        <w:rPr>
          <w:rStyle w:val="normaltextrun"/>
          <w:rFonts w:ascii="Arial" w:eastAsia="Arial" w:hAnsi="Arial" w:cs="Arial"/>
          <w:color w:val="000000" w:themeColor="text1"/>
          <w:sz w:val="24"/>
          <w:szCs w:val="24"/>
          <w:lang w:val="en-NZ"/>
        </w:rPr>
        <w:t xml:space="preserve"> system</w:t>
      </w:r>
      <w:r w:rsidR="62A5A7C8" w:rsidRPr="1C714392">
        <w:rPr>
          <w:rStyle w:val="normaltextrun"/>
          <w:rFonts w:ascii="Arial" w:eastAsia="Arial" w:hAnsi="Arial" w:cs="Arial"/>
          <w:color w:val="000000" w:themeColor="text1"/>
          <w:sz w:val="24"/>
          <w:szCs w:val="24"/>
          <w:lang w:val="en-NZ"/>
        </w:rPr>
        <w:t xml:space="preserve"> change would be better.</w:t>
      </w:r>
    </w:p>
    <w:tbl>
      <w:tblPr>
        <w:tblStyle w:val="TableGrid"/>
        <w:tblW w:w="0" w:type="auto"/>
        <w:tblLayout w:type="fixed"/>
        <w:tblLook w:val="06A0" w:firstRow="1" w:lastRow="0" w:firstColumn="1" w:lastColumn="0" w:noHBand="1" w:noVBand="1"/>
      </w:tblPr>
      <w:tblGrid>
        <w:gridCol w:w="9015"/>
      </w:tblGrid>
      <w:tr w:rsidR="1C714392" w14:paraId="7853814F" w14:textId="77777777" w:rsidTr="79448C07">
        <w:trPr>
          <w:trHeight w:val="960"/>
        </w:trPr>
        <w:tc>
          <w:tcPr>
            <w:tcW w:w="9015" w:type="dxa"/>
          </w:tcPr>
          <w:p w14:paraId="1B784762" w14:textId="17080B58" w:rsidR="729F0335" w:rsidRDefault="41866D27" w:rsidP="1C714392">
            <w:pPr>
              <w:spacing w:line="360" w:lineRule="auto"/>
              <w:rPr>
                <w:rStyle w:val="normaltextrun"/>
                <w:rFonts w:ascii="Arial" w:eastAsia="Arial" w:hAnsi="Arial" w:cs="Arial"/>
                <w:color w:val="000000" w:themeColor="text1"/>
                <w:sz w:val="24"/>
                <w:szCs w:val="24"/>
                <w:lang w:val="en-NZ"/>
              </w:rPr>
            </w:pPr>
            <w:r w:rsidRPr="79448C07">
              <w:rPr>
                <w:rFonts w:ascii="Arial" w:eastAsia="Arial" w:hAnsi="Arial" w:cs="Arial"/>
                <w:b/>
                <w:bCs/>
                <w:color w:val="000000" w:themeColor="text1"/>
                <w:sz w:val="24"/>
                <w:szCs w:val="24"/>
                <w:lang w:val="en-NZ"/>
              </w:rPr>
              <w:t xml:space="preserve">Recommendation 1: </w:t>
            </w:r>
            <w:r w:rsidR="258C1D24" w:rsidRPr="79448C07">
              <w:rPr>
                <w:rFonts w:ascii="Arial" w:eastAsia="Arial" w:hAnsi="Arial" w:cs="Arial"/>
                <w:color w:val="000000" w:themeColor="text1"/>
                <w:sz w:val="24"/>
                <w:szCs w:val="24"/>
                <w:lang w:val="en-NZ"/>
              </w:rPr>
              <w:t xml:space="preserve">that ACC </w:t>
            </w:r>
            <w:r w:rsidRPr="79448C07">
              <w:rPr>
                <w:rStyle w:val="normaltextrun"/>
                <w:rFonts w:ascii="Arial" w:eastAsia="Arial" w:hAnsi="Arial" w:cs="Arial"/>
                <w:color w:val="000000" w:themeColor="text1"/>
                <w:sz w:val="24"/>
                <w:szCs w:val="24"/>
                <w:lang w:val="en-NZ"/>
              </w:rPr>
              <w:t>us</w:t>
            </w:r>
            <w:r w:rsidR="346A91A5" w:rsidRPr="79448C07">
              <w:rPr>
                <w:rStyle w:val="normaltextrun"/>
                <w:rFonts w:ascii="Arial" w:eastAsia="Arial" w:hAnsi="Arial" w:cs="Arial"/>
                <w:color w:val="000000" w:themeColor="text1"/>
                <w:sz w:val="24"/>
                <w:szCs w:val="24"/>
                <w:lang w:val="en-NZ"/>
              </w:rPr>
              <w:t>e</w:t>
            </w:r>
            <w:r w:rsidRPr="79448C07">
              <w:rPr>
                <w:rStyle w:val="normaltextrun"/>
                <w:rFonts w:ascii="Arial" w:eastAsia="Arial" w:hAnsi="Arial" w:cs="Arial"/>
                <w:color w:val="000000" w:themeColor="text1"/>
                <w:sz w:val="24"/>
                <w:szCs w:val="24"/>
                <w:lang w:val="en-NZ"/>
              </w:rPr>
              <w:t xml:space="preserve"> the general methodologies outlined for collating data for each of the three required reports due between 2024 and 2026.</w:t>
            </w:r>
          </w:p>
          <w:p w14:paraId="0B1DB50B" w14:textId="472E6E22" w:rsidR="1C714392" w:rsidRDefault="1C714392" w:rsidP="1C714392">
            <w:pPr>
              <w:rPr>
                <w:rStyle w:val="normaltextrun"/>
                <w:rFonts w:ascii="Arial" w:eastAsia="Arial" w:hAnsi="Arial" w:cs="Arial"/>
                <w:color w:val="000000" w:themeColor="text1"/>
                <w:sz w:val="24"/>
                <w:szCs w:val="24"/>
                <w:lang w:val="en-NZ"/>
              </w:rPr>
            </w:pPr>
          </w:p>
        </w:tc>
      </w:tr>
      <w:tr w:rsidR="1C714392" w14:paraId="4C2EAAF2" w14:textId="77777777" w:rsidTr="79448C07">
        <w:trPr>
          <w:trHeight w:val="1140"/>
        </w:trPr>
        <w:tc>
          <w:tcPr>
            <w:tcW w:w="9015" w:type="dxa"/>
          </w:tcPr>
          <w:p w14:paraId="52A9B2CA" w14:textId="273BDFE3" w:rsidR="1C714392" w:rsidRDefault="41866D27" w:rsidP="79448C07">
            <w:pPr>
              <w:spacing w:line="360" w:lineRule="auto"/>
              <w:rPr>
                <w:rFonts w:ascii="Arial" w:eastAsia="Arial" w:hAnsi="Arial" w:cs="Arial"/>
                <w:color w:val="000000" w:themeColor="text1"/>
                <w:sz w:val="24"/>
                <w:szCs w:val="24"/>
                <w:lang w:val="en-NZ"/>
              </w:rPr>
            </w:pPr>
            <w:r w:rsidRPr="79448C07">
              <w:rPr>
                <w:rFonts w:ascii="Arial" w:eastAsia="Arial" w:hAnsi="Arial" w:cs="Arial"/>
                <w:b/>
                <w:bCs/>
                <w:color w:val="000000" w:themeColor="text1"/>
                <w:sz w:val="24"/>
                <w:szCs w:val="24"/>
                <w:lang w:val="en-NZ"/>
              </w:rPr>
              <w:t>Recommendation 2:</w:t>
            </w:r>
            <w:r w:rsidRPr="79448C07">
              <w:rPr>
                <w:rFonts w:ascii="Arial" w:eastAsia="Arial" w:hAnsi="Arial" w:cs="Arial"/>
                <w:color w:val="000000" w:themeColor="text1"/>
                <w:sz w:val="24"/>
                <w:szCs w:val="24"/>
                <w:lang w:val="en-NZ"/>
              </w:rPr>
              <w:t xml:space="preserve"> that the process go beyond just consultation </w:t>
            </w:r>
            <w:r w:rsidR="79C4BBF4" w:rsidRPr="79448C07">
              <w:rPr>
                <w:rFonts w:ascii="Arial" w:eastAsia="Arial" w:hAnsi="Arial" w:cs="Arial"/>
                <w:color w:val="000000" w:themeColor="text1"/>
                <w:sz w:val="24"/>
                <w:szCs w:val="24"/>
                <w:lang w:val="en-NZ"/>
              </w:rPr>
              <w:t xml:space="preserve">to </w:t>
            </w:r>
            <w:r w:rsidRPr="79448C07">
              <w:rPr>
                <w:rFonts w:ascii="Arial" w:eastAsia="Arial" w:hAnsi="Arial" w:cs="Arial"/>
                <w:color w:val="000000" w:themeColor="text1"/>
                <w:sz w:val="24"/>
                <w:szCs w:val="24"/>
                <w:lang w:val="en-NZ"/>
              </w:rPr>
              <w:t xml:space="preserve">be made a full co-design </w:t>
            </w:r>
            <w:r w:rsidR="65602933" w:rsidRPr="79448C07">
              <w:rPr>
                <w:rFonts w:ascii="Arial" w:eastAsia="Arial" w:hAnsi="Arial" w:cs="Arial"/>
                <w:color w:val="000000" w:themeColor="text1"/>
                <w:sz w:val="24"/>
                <w:szCs w:val="24"/>
                <w:lang w:val="en-NZ"/>
              </w:rPr>
              <w:t xml:space="preserve">/partnership </w:t>
            </w:r>
            <w:r w:rsidRPr="79448C07">
              <w:rPr>
                <w:rFonts w:ascii="Arial" w:eastAsia="Arial" w:hAnsi="Arial" w:cs="Arial"/>
                <w:color w:val="000000" w:themeColor="text1"/>
                <w:sz w:val="24"/>
                <w:szCs w:val="24"/>
                <w:lang w:val="en-NZ"/>
              </w:rPr>
              <w:t>process between ACC and each of the</w:t>
            </w:r>
            <w:r w:rsidR="11557D5B" w:rsidRPr="79448C07">
              <w:rPr>
                <w:rStyle w:val="normaltextrun"/>
                <w:rFonts w:ascii="Arial" w:eastAsia="Arial" w:hAnsi="Arial" w:cs="Arial"/>
                <w:color w:val="000000" w:themeColor="text1"/>
                <w:sz w:val="24"/>
                <w:szCs w:val="24"/>
                <w:lang w:val="en-NZ"/>
              </w:rPr>
              <w:t xml:space="preserve"> identified equity groups - Māori, Disabled, Pasifika, and Asian.</w:t>
            </w:r>
          </w:p>
        </w:tc>
      </w:tr>
      <w:tr w:rsidR="1C714392" w14:paraId="1E2CCB48" w14:textId="77777777" w:rsidTr="79448C07">
        <w:trPr>
          <w:trHeight w:val="1095"/>
        </w:trPr>
        <w:tc>
          <w:tcPr>
            <w:tcW w:w="9015" w:type="dxa"/>
          </w:tcPr>
          <w:p w14:paraId="33C6BA09" w14:textId="27733A31" w:rsidR="729F0335" w:rsidRDefault="41866D27" w:rsidP="1C714392">
            <w:pPr>
              <w:spacing w:line="360" w:lineRule="auto"/>
              <w:rPr>
                <w:rFonts w:ascii="Arial" w:eastAsia="Arial" w:hAnsi="Arial" w:cs="Arial"/>
                <w:color w:val="000000" w:themeColor="text1"/>
                <w:sz w:val="24"/>
                <w:szCs w:val="24"/>
                <w:lang w:val="en-NZ"/>
              </w:rPr>
            </w:pPr>
            <w:r w:rsidRPr="79448C07">
              <w:rPr>
                <w:rFonts w:ascii="Arial" w:eastAsia="Arial" w:hAnsi="Arial" w:cs="Arial"/>
                <w:b/>
                <w:bCs/>
                <w:color w:val="000000" w:themeColor="text1"/>
                <w:sz w:val="24"/>
                <w:szCs w:val="24"/>
                <w:lang w:val="en-NZ"/>
              </w:rPr>
              <w:t>Recommendation 3:</w:t>
            </w:r>
            <w:r w:rsidRPr="79448C07">
              <w:rPr>
                <w:rFonts w:ascii="Arial" w:eastAsia="Arial" w:hAnsi="Arial" w:cs="Arial"/>
                <w:color w:val="000000" w:themeColor="text1"/>
                <w:sz w:val="24"/>
                <w:szCs w:val="24"/>
                <w:lang w:val="en-NZ"/>
              </w:rPr>
              <w:t xml:space="preserve"> that Disabled Persons Organisations (DPOs) including DPA be involved as full co-design partners in the research process.</w:t>
            </w:r>
          </w:p>
          <w:p w14:paraId="1C474186" w14:textId="1FE647D2" w:rsidR="1C714392" w:rsidRDefault="1C714392" w:rsidP="1C714392">
            <w:pPr>
              <w:rPr>
                <w:rFonts w:ascii="Arial" w:eastAsia="Arial" w:hAnsi="Arial" w:cs="Arial"/>
                <w:color w:val="000000" w:themeColor="text1"/>
                <w:sz w:val="24"/>
                <w:szCs w:val="24"/>
                <w:lang w:val="en-NZ"/>
              </w:rPr>
            </w:pPr>
          </w:p>
        </w:tc>
      </w:tr>
    </w:tbl>
    <w:p w14:paraId="5E5787A5" w14:textId="20D36AFC" w:rsidR="003C0A13" w:rsidRDefault="003C0A13" w:rsidP="1C714392">
      <w:pPr>
        <w:spacing w:line="360" w:lineRule="auto"/>
        <w:rPr>
          <w:rFonts w:ascii="Arial" w:eastAsia="Arial" w:hAnsi="Arial" w:cs="Arial"/>
          <w:color w:val="000000" w:themeColor="text1"/>
          <w:sz w:val="24"/>
          <w:szCs w:val="24"/>
          <w:lang w:val="en-NZ"/>
        </w:rPr>
      </w:pPr>
    </w:p>
    <w:sectPr w:rsidR="003C0A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411A8" w14:textId="77777777" w:rsidR="00067A8D" w:rsidRDefault="00067A8D">
      <w:pPr>
        <w:spacing w:after="0" w:line="240" w:lineRule="auto"/>
      </w:pPr>
      <w:r>
        <w:separator/>
      </w:r>
    </w:p>
  </w:endnote>
  <w:endnote w:type="continuationSeparator" w:id="0">
    <w:p w14:paraId="258DE9F7" w14:textId="77777777" w:rsidR="00067A8D" w:rsidRDefault="00067A8D">
      <w:pPr>
        <w:spacing w:after="0" w:line="240" w:lineRule="auto"/>
      </w:pPr>
      <w:r>
        <w:continuationSeparator/>
      </w:r>
    </w:p>
  </w:endnote>
  <w:endnote w:type="continuationNotice" w:id="1">
    <w:p w14:paraId="7A42BAEF" w14:textId="77777777" w:rsidR="00067A8D" w:rsidRDefault="00067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3E39" w14:textId="77777777" w:rsidR="00067A8D" w:rsidRDefault="00067A8D">
      <w:pPr>
        <w:spacing w:after="0" w:line="240" w:lineRule="auto"/>
      </w:pPr>
      <w:r>
        <w:separator/>
      </w:r>
    </w:p>
  </w:footnote>
  <w:footnote w:type="continuationSeparator" w:id="0">
    <w:p w14:paraId="6ABA9DCA" w14:textId="77777777" w:rsidR="00067A8D" w:rsidRDefault="00067A8D">
      <w:pPr>
        <w:spacing w:after="0" w:line="240" w:lineRule="auto"/>
      </w:pPr>
      <w:r>
        <w:continuationSeparator/>
      </w:r>
    </w:p>
  </w:footnote>
  <w:footnote w:type="continuationNotice" w:id="1">
    <w:p w14:paraId="19993869" w14:textId="77777777" w:rsidR="00067A8D" w:rsidRDefault="00067A8D">
      <w:pPr>
        <w:spacing w:after="0" w:line="240" w:lineRule="auto"/>
      </w:pPr>
    </w:p>
  </w:footnote>
  <w:footnote w:id="2">
    <w:p w14:paraId="539A7E19" w14:textId="75EC64DE" w:rsidR="1C714392" w:rsidRDefault="1C714392" w:rsidP="1C714392">
      <w:pPr>
        <w:pStyle w:val="FootnoteText"/>
        <w:rPr>
          <w:rFonts w:ascii="Arial" w:eastAsia="Arial" w:hAnsi="Arial" w:cs="Arial"/>
        </w:rPr>
      </w:pPr>
      <w:r w:rsidRPr="1C714392">
        <w:rPr>
          <w:rStyle w:val="FootnoteReference"/>
          <w:rFonts w:ascii="Arial" w:eastAsia="Arial" w:hAnsi="Arial" w:cs="Arial"/>
        </w:rPr>
        <w:footnoteRef/>
      </w:r>
      <w:r w:rsidRPr="1C714392">
        <w:rPr>
          <w:rFonts w:ascii="Arial" w:eastAsia="Arial" w:hAnsi="Arial" w:cs="Arial"/>
        </w:rPr>
        <w:t xml:space="preserve"> </w:t>
      </w:r>
      <w:hyperlink r:id="rId1">
        <w:r w:rsidRPr="1C714392">
          <w:rPr>
            <w:rStyle w:val="Hyperlink"/>
            <w:rFonts w:ascii="Arial" w:eastAsia="Arial" w:hAnsi="Arial" w:cs="Arial"/>
          </w:rPr>
          <w:t>https://forster.co.nz/report</w:t>
        </w:r>
      </w:hyperlink>
    </w:p>
    <w:p w14:paraId="5E7512B6" w14:textId="43CC74DF" w:rsidR="1C714392" w:rsidRDefault="1C714392" w:rsidP="1C714392">
      <w:pPr>
        <w:pStyle w:val="FootnoteText"/>
      </w:pPr>
    </w:p>
  </w:footnote>
  <w:footnote w:id="3">
    <w:p w14:paraId="5F20868D" w14:textId="0A62A94C" w:rsidR="34F0BA19" w:rsidRDefault="34F0BA19" w:rsidP="34F0BA19">
      <w:pPr>
        <w:pStyle w:val="FootnoteText"/>
        <w:rPr>
          <w:rFonts w:ascii="Arial" w:eastAsia="Arial" w:hAnsi="Arial" w:cs="Arial"/>
        </w:rPr>
      </w:pPr>
      <w:r w:rsidRPr="34F0BA19">
        <w:rPr>
          <w:rStyle w:val="FootnoteReference"/>
          <w:rFonts w:ascii="Arial" w:eastAsia="Arial" w:hAnsi="Arial" w:cs="Arial"/>
        </w:rPr>
        <w:footnoteRef/>
      </w:r>
      <w:r w:rsidRPr="34F0BA19">
        <w:rPr>
          <w:rFonts w:ascii="Arial" w:eastAsia="Arial" w:hAnsi="Arial" w:cs="Arial"/>
        </w:rPr>
        <w:t xml:space="preserve"> </w:t>
      </w:r>
      <w:hyperlink r:id="rId2">
        <w:r w:rsidRPr="34F0BA19">
          <w:rPr>
            <w:rStyle w:val="Hyperlink"/>
            <w:rFonts w:ascii="Arial" w:eastAsia="Arial" w:hAnsi="Arial" w:cs="Arial"/>
          </w:rPr>
          <w:t>https://waitangitribunal.govt.nz/news/report-on-stage-one-of-health-services-and-outcomes-released/</w:t>
        </w:r>
      </w:hyperlink>
    </w:p>
    <w:p w14:paraId="1BF8632B" w14:textId="4AF53065" w:rsidR="34F0BA19" w:rsidRDefault="34F0BA19" w:rsidP="34F0BA19">
      <w:pPr>
        <w:pStyle w:val="FootnoteText"/>
      </w:pPr>
    </w:p>
  </w:footnote>
  <w:footnote w:id="4">
    <w:p w14:paraId="1C6D8184" w14:textId="29EC9123" w:rsidR="511FB7EF" w:rsidRDefault="511FB7EF" w:rsidP="511FB7EF">
      <w:pPr>
        <w:pStyle w:val="FootnoteText"/>
        <w:rPr>
          <w:rFonts w:ascii="Arial" w:eastAsia="Arial" w:hAnsi="Arial" w:cs="Arial"/>
          <w:i/>
        </w:rPr>
      </w:pPr>
      <w:r w:rsidRPr="34F0BA19">
        <w:rPr>
          <w:rStyle w:val="FootnoteReference"/>
          <w:rFonts w:ascii="Arial" w:eastAsia="Arial" w:hAnsi="Arial" w:cs="Arial"/>
        </w:rPr>
        <w:footnoteRef/>
      </w:r>
      <w:r w:rsidRPr="34F0BA19">
        <w:rPr>
          <w:rFonts w:ascii="Arial" w:eastAsia="Arial" w:hAnsi="Arial" w:cs="Arial"/>
        </w:rPr>
        <w:t xml:space="preserve"> NZ Herald. </w:t>
      </w:r>
      <w:r w:rsidR="34F0BA19" w:rsidRPr="34F0BA19">
        <w:rPr>
          <w:rFonts w:ascii="Arial" w:eastAsia="Arial" w:hAnsi="Arial" w:cs="Arial"/>
        </w:rPr>
        <w:t>(</w:t>
      </w:r>
      <w:r w:rsidRPr="34F0BA19">
        <w:rPr>
          <w:rFonts w:ascii="Arial" w:eastAsia="Arial" w:hAnsi="Arial" w:cs="Arial"/>
        </w:rPr>
        <w:t xml:space="preserve">2012, </w:t>
      </w:r>
      <w:r w:rsidR="34F0BA19" w:rsidRPr="34F0BA19">
        <w:rPr>
          <w:rFonts w:ascii="Arial" w:eastAsia="Arial" w:hAnsi="Arial" w:cs="Arial"/>
        </w:rPr>
        <w:t xml:space="preserve">Sept </w:t>
      </w:r>
      <w:r w:rsidRPr="34F0BA19">
        <w:rPr>
          <w:rFonts w:ascii="Arial" w:eastAsia="Arial" w:hAnsi="Arial" w:cs="Arial"/>
        </w:rPr>
        <w:t xml:space="preserve">7). </w:t>
      </w:r>
      <w:r w:rsidRPr="34F0BA19">
        <w:rPr>
          <w:rFonts w:ascii="Arial" w:eastAsia="Arial" w:hAnsi="Arial" w:cs="Arial"/>
          <w:i/>
        </w:rPr>
        <w:t xml:space="preserve">Editorial: ACC culture must be </w:t>
      </w:r>
      <w:proofErr w:type="gramStart"/>
      <w:r w:rsidRPr="34F0BA19">
        <w:rPr>
          <w:rFonts w:ascii="Arial" w:eastAsia="Arial" w:hAnsi="Arial" w:cs="Arial"/>
          <w:i/>
        </w:rPr>
        <w:t>more fair and open</w:t>
      </w:r>
      <w:proofErr w:type="gramEnd"/>
      <w:r w:rsidRPr="34F0BA19">
        <w:rPr>
          <w:rFonts w:ascii="Arial" w:eastAsia="Arial" w:hAnsi="Arial" w:cs="Arial"/>
          <w:i/>
        </w:rPr>
        <w:t xml:space="preserve"> </w:t>
      </w:r>
    </w:p>
    <w:p w14:paraId="51143A2D" w14:textId="4E4EF19C" w:rsidR="511FB7EF" w:rsidRDefault="00000000" w:rsidP="511FB7EF">
      <w:pPr>
        <w:pStyle w:val="FootnoteText"/>
        <w:rPr>
          <w:rStyle w:val="Hyperlink"/>
          <w:rFonts w:ascii="Arial" w:eastAsia="Arial" w:hAnsi="Arial" w:cs="Arial"/>
        </w:rPr>
      </w:pPr>
      <w:hyperlink r:id="rId3">
        <w:r w:rsidR="511FB7EF" w:rsidRPr="34F0BA19">
          <w:rPr>
            <w:rStyle w:val="Hyperlink"/>
            <w:rFonts w:ascii="Arial" w:eastAsia="Arial" w:hAnsi="Arial" w:cs="Arial"/>
          </w:rPr>
          <w:t>https://www.nzherald.co.nz/nz/editorial-acc-culture-must-be-more-fair-and-open/ZCHN2RIDLVC3X5I52IYHZBHB7U/</w:t>
        </w:r>
      </w:hyperlink>
    </w:p>
  </w:footnote>
  <w:footnote w:id="5">
    <w:p w14:paraId="06DADB33" w14:textId="7D497272" w:rsidR="511FB7EF" w:rsidRDefault="511FB7EF" w:rsidP="511FB7EF">
      <w:pPr>
        <w:pStyle w:val="FootnoteText"/>
        <w:rPr>
          <w:rFonts w:ascii="Arial" w:eastAsia="Arial" w:hAnsi="Arial" w:cs="Arial"/>
          <w:i/>
        </w:rPr>
      </w:pPr>
      <w:r w:rsidRPr="34F0BA19">
        <w:rPr>
          <w:rStyle w:val="FootnoteReference"/>
          <w:rFonts w:ascii="Arial" w:eastAsia="Arial" w:hAnsi="Arial" w:cs="Arial"/>
        </w:rPr>
        <w:footnoteRef/>
      </w:r>
      <w:r w:rsidRPr="34F0BA19">
        <w:rPr>
          <w:rFonts w:ascii="Arial" w:eastAsia="Arial" w:hAnsi="Arial" w:cs="Arial"/>
        </w:rPr>
        <w:t xml:space="preserve"> Accident Compensation Corporation. (Dec 2022). </w:t>
      </w:r>
      <w:r w:rsidRPr="34F0BA19">
        <w:rPr>
          <w:rFonts w:ascii="Arial" w:eastAsia="Arial" w:hAnsi="Arial" w:cs="Arial"/>
          <w:i/>
        </w:rPr>
        <w:t>Impairment Assessments – Operational Guidelines</w:t>
      </w:r>
    </w:p>
    <w:p w14:paraId="6B33669B" w14:textId="150BDA76" w:rsidR="511FB7EF" w:rsidRDefault="00000000" w:rsidP="511FB7EF">
      <w:pPr>
        <w:pStyle w:val="FootnoteText"/>
        <w:rPr>
          <w:rFonts w:ascii="Arial" w:eastAsia="Arial" w:hAnsi="Arial" w:cs="Arial"/>
        </w:rPr>
      </w:pPr>
      <w:hyperlink r:id="rId4">
        <w:r w:rsidR="511FB7EF" w:rsidRPr="34F0BA19">
          <w:rPr>
            <w:rStyle w:val="Hyperlink"/>
            <w:rFonts w:ascii="Arial" w:eastAsia="Arial" w:hAnsi="Arial" w:cs="Arial"/>
          </w:rPr>
          <w:t>https://www.acc.co.nz/assets/provider/impairment-assessment-services-og.pdf</w:t>
        </w:r>
      </w:hyperlink>
    </w:p>
  </w:footnote>
  <w:footnote w:id="6">
    <w:p w14:paraId="5BA7F7EA" w14:textId="1969DEF2" w:rsidR="1C714392" w:rsidRDefault="1C714392" w:rsidP="1C714392">
      <w:pPr>
        <w:pStyle w:val="FootnoteText"/>
        <w:rPr>
          <w:rFonts w:ascii="Arial" w:eastAsia="Arial" w:hAnsi="Arial" w:cs="Arial"/>
        </w:rPr>
      </w:pPr>
      <w:r w:rsidRPr="1C714392">
        <w:rPr>
          <w:rStyle w:val="FootnoteReference"/>
          <w:rFonts w:ascii="Arial" w:eastAsia="Arial" w:hAnsi="Arial" w:cs="Arial"/>
        </w:rPr>
        <w:footnoteRef/>
      </w:r>
      <w:r w:rsidRPr="1C714392">
        <w:rPr>
          <w:rFonts w:ascii="Arial" w:eastAsia="Arial" w:hAnsi="Arial" w:cs="Arial"/>
        </w:rPr>
        <w:t xml:space="preserve"> </w:t>
      </w:r>
      <w:hyperlink r:id="rId5">
        <w:r w:rsidRPr="1C714392">
          <w:rPr>
            <w:rStyle w:val="Hyperlink"/>
            <w:rFonts w:ascii="Arial" w:eastAsia="Arial" w:hAnsi="Arial" w:cs="Arial"/>
            <w:sz w:val="19"/>
            <w:szCs w:val="19"/>
            <w:lang w:val="en-NZ"/>
          </w:rPr>
          <w:t>https://www.nzta.govt.nz/resources/research/reports/690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3EBAB"/>
    <w:multiLevelType w:val="hybridMultilevel"/>
    <w:tmpl w:val="3342CBBA"/>
    <w:lvl w:ilvl="0" w:tplc="54BE94CE">
      <w:start w:val="1"/>
      <w:numFmt w:val="decimal"/>
      <w:lvlText w:val="%1."/>
      <w:lvlJc w:val="left"/>
      <w:pPr>
        <w:ind w:left="720" w:hanging="360"/>
      </w:pPr>
    </w:lvl>
    <w:lvl w:ilvl="1" w:tplc="4FCA4704">
      <w:start w:val="1"/>
      <w:numFmt w:val="lowerLetter"/>
      <w:lvlText w:val="%2."/>
      <w:lvlJc w:val="left"/>
      <w:pPr>
        <w:ind w:left="1440" w:hanging="360"/>
      </w:pPr>
    </w:lvl>
    <w:lvl w:ilvl="2" w:tplc="CA0E0ADE">
      <w:start w:val="1"/>
      <w:numFmt w:val="lowerRoman"/>
      <w:lvlText w:val="%3."/>
      <w:lvlJc w:val="right"/>
      <w:pPr>
        <w:ind w:left="2160" w:hanging="180"/>
      </w:pPr>
    </w:lvl>
    <w:lvl w:ilvl="3" w:tplc="3CE23B78">
      <w:start w:val="1"/>
      <w:numFmt w:val="decimal"/>
      <w:lvlText w:val="%4."/>
      <w:lvlJc w:val="left"/>
      <w:pPr>
        <w:ind w:left="2880" w:hanging="360"/>
      </w:pPr>
    </w:lvl>
    <w:lvl w:ilvl="4" w:tplc="FA24CEDE">
      <w:start w:val="1"/>
      <w:numFmt w:val="lowerLetter"/>
      <w:lvlText w:val="%5."/>
      <w:lvlJc w:val="left"/>
      <w:pPr>
        <w:ind w:left="3600" w:hanging="360"/>
      </w:pPr>
    </w:lvl>
    <w:lvl w:ilvl="5" w:tplc="937C6CF2">
      <w:start w:val="1"/>
      <w:numFmt w:val="lowerRoman"/>
      <w:lvlText w:val="%6."/>
      <w:lvlJc w:val="right"/>
      <w:pPr>
        <w:ind w:left="4320" w:hanging="180"/>
      </w:pPr>
    </w:lvl>
    <w:lvl w:ilvl="6" w:tplc="F64EDA16">
      <w:start w:val="1"/>
      <w:numFmt w:val="decimal"/>
      <w:lvlText w:val="%7."/>
      <w:lvlJc w:val="left"/>
      <w:pPr>
        <w:ind w:left="5040" w:hanging="360"/>
      </w:pPr>
    </w:lvl>
    <w:lvl w:ilvl="7" w:tplc="3CB8B950">
      <w:start w:val="1"/>
      <w:numFmt w:val="lowerLetter"/>
      <w:lvlText w:val="%8."/>
      <w:lvlJc w:val="left"/>
      <w:pPr>
        <w:ind w:left="5760" w:hanging="360"/>
      </w:pPr>
    </w:lvl>
    <w:lvl w:ilvl="8" w:tplc="BBB22FC8">
      <w:start w:val="1"/>
      <w:numFmt w:val="lowerRoman"/>
      <w:lvlText w:val="%9."/>
      <w:lvlJc w:val="right"/>
      <w:pPr>
        <w:ind w:left="6480" w:hanging="180"/>
      </w:pPr>
    </w:lvl>
  </w:abstractNum>
  <w:abstractNum w:abstractNumId="1" w15:restartNumberingAfterBreak="0">
    <w:nsid w:val="5B23607E"/>
    <w:multiLevelType w:val="hybridMultilevel"/>
    <w:tmpl w:val="CCDE00FC"/>
    <w:lvl w:ilvl="0" w:tplc="247E73F6">
      <w:start w:val="1"/>
      <w:numFmt w:val="bullet"/>
      <w:lvlText w:val=""/>
      <w:lvlJc w:val="left"/>
      <w:pPr>
        <w:ind w:left="720" w:hanging="360"/>
      </w:pPr>
      <w:rPr>
        <w:rFonts w:ascii="Symbol" w:hAnsi="Symbol" w:hint="default"/>
      </w:rPr>
    </w:lvl>
    <w:lvl w:ilvl="1" w:tplc="3160B7FA">
      <w:start w:val="1"/>
      <w:numFmt w:val="bullet"/>
      <w:lvlText w:val="o"/>
      <w:lvlJc w:val="left"/>
      <w:pPr>
        <w:ind w:left="1440" w:hanging="360"/>
      </w:pPr>
      <w:rPr>
        <w:rFonts w:ascii="Courier New" w:hAnsi="Courier New" w:hint="default"/>
      </w:rPr>
    </w:lvl>
    <w:lvl w:ilvl="2" w:tplc="902C4BCC">
      <w:start w:val="1"/>
      <w:numFmt w:val="bullet"/>
      <w:lvlText w:val=""/>
      <w:lvlJc w:val="left"/>
      <w:pPr>
        <w:ind w:left="2160" w:hanging="360"/>
      </w:pPr>
      <w:rPr>
        <w:rFonts w:ascii="Wingdings" w:hAnsi="Wingdings" w:hint="default"/>
      </w:rPr>
    </w:lvl>
    <w:lvl w:ilvl="3" w:tplc="26222F24">
      <w:start w:val="1"/>
      <w:numFmt w:val="bullet"/>
      <w:lvlText w:val=""/>
      <w:lvlJc w:val="left"/>
      <w:pPr>
        <w:ind w:left="2880" w:hanging="360"/>
      </w:pPr>
      <w:rPr>
        <w:rFonts w:ascii="Symbol" w:hAnsi="Symbol" w:hint="default"/>
      </w:rPr>
    </w:lvl>
    <w:lvl w:ilvl="4" w:tplc="F7481C1E">
      <w:start w:val="1"/>
      <w:numFmt w:val="bullet"/>
      <w:lvlText w:val="o"/>
      <w:lvlJc w:val="left"/>
      <w:pPr>
        <w:ind w:left="3600" w:hanging="360"/>
      </w:pPr>
      <w:rPr>
        <w:rFonts w:ascii="Courier New" w:hAnsi="Courier New" w:hint="default"/>
      </w:rPr>
    </w:lvl>
    <w:lvl w:ilvl="5" w:tplc="F7AE9154">
      <w:start w:val="1"/>
      <w:numFmt w:val="bullet"/>
      <w:lvlText w:val=""/>
      <w:lvlJc w:val="left"/>
      <w:pPr>
        <w:ind w:left="4320" w:hanging="360"/>
      </w:pPr>
      <w:rPr>
        <w:rFonts w:ascii="Wingdings" w:hAnsi="Wingdings" w:hint="default"/>
      </w:rPr>
    </w:lvl>
    <w:lvl w:ilvl="6" w:tplc="E330369E">
      <w:start w:val="1"/>
      <w:numFmt w:val="bullet"/>
      <w:lvlText w:val=""/>
      <w:lvlJc w:val="left"/>
      <w:pPr>
        <w:ind w:left="5040" w:hanging="360"/>
      </w:pPr>
      <w:rPr>
        <w:rFonts w:ascii="Symbol" w:hAnsi="Symbol" w:hint="default"/>
      </w:rPr>
    </w:lvl>
    <w:lvl w:ilvl="7" w:tplc="95321C2A">
      <w:start w:val="1"/>
      <w:numFmt w:val="bullet"/>
      <w:lvlText w:val="o"/>
      <w:lvlJc w:val="left"/>
      <w:pPr>
        <w:ind w:left="5760" w:hanging="360"/>
      </w:pPr>
      <w:rPr>
        <w:rFonts w:ascii="Courier New" w:hAnsi="Courier New" w:hint="default"/>
      </w:rPr>
    </w:lvl>
    <w:lvl w:ilvl="8" w:tplc="C3201938">
      <w:start w:val="1"/>
      <w:numFmt w:val="bullet"/>
      <w:lvlText w:val=""/>
      <w:lvlJc w:val="left"/>
      <w:pPr>
        <w:ind w:left="6480" w:hanging="360"/>
      </w:pPr>
      <w:rPr>
        <w:rFonts w:ascii="Wingdings" w:hAnsi="Wingdings" w:hint="default"/>
      </w:rPr>
    </w:lvl>
  </w:abstractNum>
  <w:abstractNum w:abstractNumId="2" w15:restartNumberingAfterBreak="0">
    <w:nsid w:val="7FE3340A"/>
    <w:multiLevelType w:val="hybridMultilevel"/>
    <w:tmpl w:val="33FCCCD2"/>
    <w:lvl w:ilvl="0" w:tplc="1D4E8F86">
      <w:start w:val="1"/>
      <w:numFmt w:val="bullet"/>
      <w:lvlText w:val="·"/>
      <w:lvlJc w:val="left"/>
      <w:pPr>
        <w:ind w:left="720" w:hanging="360"/>
      </w:pPr>
      <w:rPr>
        <w:rFonts w:ascii="Symbol" w:hAnsi="Symbol" w:hint="default"/>
      </w:rPr>
    </w:lvl>
    <w:lvl w:ilvl="1" w:tplc="96360BD6">
      <w:start w:val="1"/>
      <w:numFmt w:val="bullet"/>
      <w:lvlText w:val="o"/>
      <w:lvlJc w:val="left"/>
      <w:pPr>
        <w:ind w:left="1440" w:hanging="360"/>
      </w:pPr>
      <w:rPr>
        <w:rFonts w:ascii="Courier New" w:hAnsi="Courier New" w:hint="default"/>
      </w:rPr>
    </w:lvl>
    <w:lvl w:ilvl="2" w:tplc="7722CF1A">
      <w:start w:val="1"/>
      <w:numFmt w:val="bullet"/>
      <w:lvlText w:val=""/>
      <w:lvlJc w:val="left"/>
      <w:pPr>
        <w:ind w:left="2160" w:hanging="360"/>
      </w:pPr>
      <w:rPr>
        <w:rFonts w:ascii="Wingdings" w:hAnsi="Wingdings" w:hint="default"/>
      </w:rPr>
    </w:lvl>
    <w:lvl w:ilvl="3" w:tplc="BB66D12E">
      <w:start w:val="1"/>
      <w:numFmt w:val="bullet"/>
      <w:lvlText w:val=""/>
      <w:lvlJc w:val="left"/>
      <w:pPr>
        <w:ind w:left="2880" w:hanging="360"/>
      </w:pPr>
      <w:rPr>
        <w:rFonts w:ascii="Symbol" w:hAnsi="Symbol" w:hint="default"/>
      </w:rPr>
    </w:lvl>
    <w:lvl w:ilvl="4" w:tplc="81FAD68E">
      <w:start w:val="1"/>
      <w:numFmt w:val="bullet"/>
      <w:lvlText w:val="o"/>
      <w:lvlJc w:val="left"/>
      <w:pPr>
        <w:ind w:left="3600" w:hanging="360"/>
      </w:pPr>
      <w:rPr>
        <w:rFonts w:ascii="Courier New" w:hAnsi="Courier New" w:hint="default"/>
      </w:rPr>
    </w:lvl>
    <w:lvl w:ilvl="5" w:tplc="C1F2F180">
      <w:start w:val="1"/>
      <w:numFmt w:val="bullet"/>
      <w:lvlText w:val=""/>
      <w:lvlJc w:val="left"/>
      <w:pPr>
        <w:ind w:left="4320" w:hanging="360"/>
      </w:pPr>
      <w:rPr>
        <w:rFonts w:ascii="Wingdings" w:hAnsi="Wingdings" w:hint="default"/>
      </w:rPr>
    </w:lvl>
    <w:lvl w:ilvl="6" w:tplc="590488F2">
      <w:start w:val="1"/>
      <w:numFmt w:val="bullet"/>
      <w:lvlText w:val=""/>
      <w:lvlJc w:val="left"/>
      <w:pPr>
        <w:ind w:left="5040" w:hanging="360"/>
      </w:pPr>
      <w:rPr>
        <w:rFonts w:ascii="Symbol" w:hAnsi="Symbol" w:hint="default"/>
      </w:rPr>
    </w:lvl>
    <w:lvl w:ilvl="7" w:tplc="538EF2D8">
      <w:start w:val="1"/>
      <w:numFmt w:val="bullet"/>
      <w:lvlText w:val="o"/>
      <w:lvlJc w:val="left"/>
      <w:pPr>
        <w:ind w:left="5760" w:hanging="360"/>
      </w:pPr>
      <w:rPr>
        <w:rFonts w:ascii="Courier New" w:hAnsi="Courier New" w:hint="default"/>
      </w:rPr>
    </w:lvl>
    <w:lvl w:ilvl="8" w:tplc="F8849D42">
      <w:start w:val="1"/>
      <w:numFmt w:val="bullet"/>
      <w:lvlText w:val=""/>
      <w:lvlJc w:val="left"/>
      <w:pPr>
        <w:ind w:left="6480" w:hanging="360"/>
      </w:pPr>
      <w:rPr>
        <w:rFonts w:ascii="Wingdings" w:hAnsi="Wingdings" w:hint="default"/>
      </w:rPr>
    </w:lvl>
  </w:abstractNum>
  <w:num w:numId="1" w16cid:durableId="1993752222">
    <w:abstractNumId w:val="0"/>
  </w:num>
  <w:num w:numId="2" w16cid:durableId="864489958">
    <w:abstractNumId w:val="1"/>
  </w:num>
  <w:num w:numId="3" w16cid:durableId="1471245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DDFD5E"/>
    <w:rsid w:val="00067A8D"/>
    <w:rsid w:val="00083117"/>
    <w:rsid w:val="000A69D2"/>
    <w:rsid w:val="000C4EA7"/>
    <w:rsid w:val="00164141"/>
    <w:rsid w:val="0026B731"/>
    <w:rsid w:val="002C7203"/>
    <w:rsid w:val="003C0A13"/>
    <w:rsid w:val="00416A33"/>
    <w:rsid w:val="004A6742"/>
    <w:rsid w:val="004B496B"/>
    <w:rsid w:val="0055020A"/>
    <w:rsid w:val="0055D37C"/>
    <w:rsid w:val="00571683"/>
    <w:rsid w:val="0062289C"/>
    <w:rsid w:val="00687EAF"/>
    <w:rsid w:val="007A32FD"/>
    <w:rsid w:val="00817FEB"/>
    <w:rsid w:val="008913A7"/>
    <w:rsid w:val="00895C62"/>
    <w:rsid w:val="008D71A2"/>
    <w:rsid w:val="00917E30"/>
    <w:rsid w:val="00923A01"/>
    <w:rsid w:val="009E33F9"/>
    <w:rsid w:val="00AC4ECC"/>
    <w:rsid w:val="00BA1EFC"/>
    <w:rsid w:val="00BF2295"/>
    <w:rsid w:val="00CE7C4D"/>
    <w:rsid w:val="00D2162D"/>
    <w:rsid w:val="00D871A2"/>
    <w:rsid w:val="00E62C88"/>
    <w:rsid w:val="00EA41E6"/>
    <w:rsid w:val="00EE5AED"/>
    <w:rsid w:val="00F774CB"/>
    <w:rsid w:val="00F84755"/>
    <w:rsid w:val="01172505"/>
    <w:rsid w:val="011B3F39"/>
    <w:rsid w:val="017CBE23"/>
    <w:rsid w:val="023BC5CB"/>
    <w:rsid w:val="02588ACD"/>
    <w:rsid w:val="029C7B5F"/>
    <w:rsid w:val="02B99ED0"/>
    <w:rsid w:val="0349C31D"/>
    <w:rsid w:val="035E57F3"/>
    <w:rsid w:val="036C6FCE"/>
    <w:rsid w:val="03D174D6"/>
    <w:rsid w:val="03FDE481"/>
    <w:rsid w:val="04157638"/>
    <w:rsid w:val="0438F289"/>
    <w:rsid w:val="046C9D14"/>
    <w:rsid w:val="04733A66"/>
    <w:rsid w:val="04CD8FF0"/>
    <w:rsid w:val="051EA025"/>
    <w:rsid w:val="0548DFBE"/>
    <w:rsid w:val="0573668D"/>
    <w:rsid w:val="0687AA73"/>
    <w:rsid w:val="070F36EE"/>
    <w:rsid w:val="0722D2B1"/>
    <w:rsid w:val="07EBFFA7"/>
    <w:rsid w:val="086AEBE8"/>
    <w:rsid w:val="090C63AC"/>
    <w:rsid w:val="09ACD05C"/>
    <w:rsid w:val="0AD33378"/>
    <w:rsid w:val="0B54D502"/>
    <w:rsid w:val="0CAEE145"/>
    <w:rsid w:val="0D1EA955"/>
    <w:rsid w:val="0D3ECB4B"/>
    <w:rsid w:val="0DA2DB77"/>
    <w:rsid w:val="0DBA85BC"/>
    <w:rsid w:val="0E5B412B"/>
    <w:rsid w:val="0E9A04C6"/>
    <w:rsid w:val="0F35DBC1"/>
    <w:rsid w:val="0F5D3CF8"/>
    <w:rsid w:val="10E3AD98"/>
    <w:rsid w:val="11557D5B"/>
    <w:rsid w:val="1163B675"/>
    <w:rsid w:val="1192E1ED"/>
    <w:rsid w:val="130D9DBF"/>
    <w:rsid w:val="132C842B"/>
    <w:rsid w:val="132EB24E"/>
    <w:rsid w:val="135FE6E7"/>
    <w:rsid w:val="1399E335"/>
    <w:rsid w:val="13A89F5B"/>
    <w:rsid w:val="13D50A6C"/>
    <w:rsid w:val="140A5CCD"/>
    <w:rsid w:val="14250A8D"/>
    <w:rsid w:val="147E329E"/>
    <w:rsid w:val="14CBD302"/>
    <w:rsid w:val="151DD691"/>
    <w:rsid w:val="157F63C6"/>
    <w:rsid w:val="15A51D45"/>
    <w:rsid w:val="15A62D2E"/>
    <w:rsid w:val="1602020E"/>
    <w:rsid w:val="16709DD1"/>
    <w:rsid w:val="1740EDA6"/>
    <w:rsid w:val="178B4A9C"/>
    <w:rsid w:val="17B63801"/>
    <w:rsid w:val="186F0679"/>
    <w:rsid w:val="187A08F9"/>
    <w:rsid w:val="18BA5A91"/>
    <w:rsid w:val="190D1588"/>
    <w:rsid w:val="190DF2A0"/>
    <w:rsid w:val="1935499E"/>
    <w:rsid w:val="1939A2D0"/>
    <w:rsid w:val="199BC5AF"/>
    <w:rsid w:val="1AB6699E"/>
    <w:rsid w:val="1ABE57D7"/>
    <w:rsid w:val="1B069C7F"/>
    <w:rsid w:val="1B253C16"/>
    <w:rsid w:val="1C07D473"/>
    <w:rsid w:val="1C3A23DA"/>
    <w:rsid w:val="1C714392"/>
    <w:rsid w:val="1C894483"/>
    <w:rsid w:val="1C9F81D0"/>
    <w:rsid w:val="1C9FF7CD"/>
    <w:rsid w:val="1CBBF9F0"/>
    <w:rsid w:val="1DE163C3"/>
    <w:rsid w:val="1EDFBE65"/>
    <w:rsid w:val="1F686446"/>
    <w:rsid w:val="1F7D3424"/>
    <w:rsid w:val="1FA48B22"/>
    <w:rsid w:val="215CB5A6"/>
    <w:rsid w:val="22569756"/>
    <w:rsid w:val="2281E612"/>
    <w:rsid w:val="2283A04D"/>
    <w:rsid w:val="2292B929"/>
    <w:rsid w:val="22A0BA3E"/>
    <w:rsid w:val="22F88607"/>
    <w:rsid w:val="2347BDFD"/>
    <w:rsid w:val="235E2008"/>
    <w:rsid w:val="24945668"/>
    <w:rsid w:val="24D06CC6"/>
    <w:rsid w:val="2537F23D"/>
    <w:rsid w:val="257F3DE6"/>
    <w:rsid w:val="258C1D24"/>
    <w:rsid w:val="25BC4DD1"/>
    <w:rsid w:val="25E5BC39"/>
    <w:rsid w:val="267AEDDB"/>
    <w:rsid w:val="2754AC29"/>
    <w:rsid w:val="275D3F52"/>
    <w:rsid w:val="2764E49C"/>
    <w:rsid w:val="27723080"/>
    <w:rsid w:val="2795415E"/>
    <w:rsid w:val="27D3E4B0"/>
    <w:rsid w:val="27E1080E"/>
    <w:rsid w:val="282B878D"/>
    <w:rsid w:val="2872836E"/>
    <w:rsid w:val="287B2BE4"/>
    <w:rsid w:val="28BFBA1D"/>
    <w:rsid w:val="2924166A"/>
    <w:rsid w:val="292DF7B8"/>
    <w:rsid w:val="2980AED2"/>
    <w:rsid w:val="2A16D221"/>
    <w:rsid w:val="2A47730C"/>
    <w:rsid w:val="2A5A5DC3"/>
    <w:rsid w:val="2B0397EC"/>
    <w:rsid w:val="2B16011F"/>
    <w:rsid w:val="2B4E5EFE"/>
    <w:rsid w:val="2B9A3341"/>
    <w:rsid w:val="2C9641A8"/>
    <w:rsid w:val="2CA755D3"/>
    <w:rsid w:val="2D109360"/>
    <w:rsid w:val="2DB5F221"/>
    <w:rsid w:val="2E0C1BB0"/>
    <w:rsid w:val="2E5FC90B"/>
    <w:rsid w:val="2EECA3EA"/>
    <w:rsid w:val="2EEEA47F"/>
    <w:rsid w:val="2F867596"/>
    <w:rsid w:val="2F9B4574"/>
    <w:rsid w:val="2FB0D979"/>
    <w:rsid w:val="2FFFC7DF"/>
    <w:rsid w:val="312245F7"/>
    <w:rsid w:val="317C9783"/>
    <w:rsid w:val="329B473E"/>
    <w:rsid w:val="32FFF2DA"/>
    <w:rsid w:val="33169757"/>
    <w:rsid w:val="3326F3D8"/>
    <w:rsid w:val="33333A2E"/>
    <w:rsid w:val="33A8ED45"/>
    <w:rsid w:val="33BA4A2E"/>
    <w:rsid w:val="346A91A5"/>
    <w:rsid w:val="34862FBB"/>
    <w:rsid w:val="34B267B8"/>
    <w:rsid w:val="34DB4F99"/>
    <w:rsid w:val="34F0BA19"/>
    <w:rsid w:val="355DE603"/>
    <w:rsid w:val="362D5F61"/>
    <w:rsid w:val="3631DDF6"/>
    <w:rsid w:val="3693E0CF"/>
    <w:rsid w:val="369B9979"/>
    <w:rsid w:val="36ABFF6F"/>
    <w:rsid w:val="3753C27D"/>
    <w:rsid w:val="37F13963"/>
    <w:rsid w:val="382FD263"/>
    <w:rsid w:val="3926B568"/>
    <w:rsid w:val="3966893E"/>
    <w:rsid w:val="39849EF0"/>
    <w:rsid w:val="39AEC0BC"/>
    <w:rsid w:val="3AB20CB4"/>
    <w:rsid w:val="3AC2D671"/>
    <w:rsid w:val="3B1FD6C3"/>
    <w:rsid w:val="3BCD2787"/>
    <w:rsid w:val="3C1CBEDB"/>
    <w:rsid w:val="3C3F1D5E"/>
    <w:rsid w:val="3C79C87C"/>
    <w:rsid w:val="3C92B7E3"/>
    <w:rsid w:val="3D97B68E"/>
    <w:rsid w:val="3DD44CCA"/>
    <w:rsid w:val="3DE9AD76"/>
    <w:rsid w:val="3E327FA6"/>
    <w:rsid w:val="3EA4615F"/>
    <w:rsid w:val="3EA4D344"/>
    <w:rsid w:val="3EAB7F00"/>
    <w:rsid w:val="3F30B2CE"/>
    <w:rsid w:val="3F4C5054"/>
    <w:rsid w:val="3F8558A3"/>
    <w:rsid w:val="3FB1693E"/>
    <w:rsid w:val="3FE553A0"/>
    <w:rsid w:val="3FFC4B48"/>
    <w:rsid w:val="407725D5"/>
    <w:rsid w:val="40906B42"/>
    <w:rsid w:val="41866D27"/>
    <w:rsid w:val="41992786"/>
    <w:rsid w:val="41DD3E4F"/>
    <w:rsid w:val="429B893D"/>
    <w:rsid w:val="42AE5EE2"/>
    <w:rsid w:val="4379982A"/>
    <w:rsid w:val="43EAFB94"/>
    <w:rsid w:val="44B23DEC"/>
    <w:rsid w:val="453FB58A"/>
    <w:rsid w:val="458B2527"/>
    <w:rsid w:val="4638D92F"/>
    <w:rsid w:val="4669DB38"/>
    <w:rsid w:val="46CFF665"/>
    <w:rsid w:val="47053501"/>
    <w:rsid w:val="471A903D"/>
    <w:rsid w:val="47944933"/>
    <w:rsid w:val="47C1E2C2"/>
    <w:rsid w:val="48C2C5E9"/>
    <w:rsid w:val="49008455"/>
    <w:rsid w:val="491BC1BA"/>
    <w:rsid w:val="4955AB82"/>
    <w:rsid w:val="4A2A8BB6"/>
    <w:rsid w:val="4B07EB2A"/>
    <w:rsid w:val="4B08ED29"/>
    <w:rsid w:val="4BB8553E"/>
    <w:rsid w:val="4BD64672"/>
    <w:rsid w:val="4BF60D79"/>
    <w:rsid w:val="4C1E523E"/>
    <w:rsid w:val="4CEF0687"/>
    <w:rsid w:val="4D267AFB"/>
    <w:rsid w:val="4DA83143"/>
    <w:rsid w:val="4DF7C273"/>
    <w:rsid w:val="4E07BEC6"/>
    <w:rsid w:val="4E1C5EE6"/>
    <w:rsid w:val="4E408DEB"/>
    <w:rsid w:val="4EE7FAEA"/>
    <w:rsid w:val="4F1B721A"/>
    <w:rsid w:val="4F280A39"/>
    <w:rsid w:val="4F513947"/>
    <w:rsid w:val="500A5FD3"/>
    <w:rsid w:val="50126F12"/>
    <w:rsid w:val="50C97E9C"/>
    <w:rsid w:val="511FB7EF"/>
    <w:rsid w:val="513F5F88"/>
    <w:rsid w:val="516881D8"/>
    <w:rsid w:val="523EC866"/>
    <w:rsid w:val="5250892B"/>
    <w:rsid w:val="52CC7032"/>
    <w:rsid w:val="539AF3A9"/>
    <w:rsid w:val="53A893C7"/>
    <w:rsid w:val="53AD8041"/>
    <w:rsid w:val="53D9C860"/>
    <w:rsid w:val="53E4866B"/>
    <w:rsid w:val="5411297F"/>
    <w:rsid w:val="5424AA6A"/>
    <w:rsid w:val="54AFCF6F"/>
    <w:rsid w:val="55B949E2"/>
    <w:rsid w:val="55C07ACB"/>
    <w:rsid w:val="560410F4"/>
    <w:rsid w:val="56609B10"/>
    <w:rsid w:val="5663B5DE"/>
    <w:rsid w:val="568D1741"/>
    <w:rsid w:val="56E370E7"/>
    <w:rsid w:val="571E0D32"/>
    <w:rsid w:val="57551A43"/>
    <w:rsid w:val="578F8768"/>
    <w:rsid w:val="57E793B1"/>
    <w:rsid w:val="5849AE11"/>
    <w:rsid w:val="58704030"/>
    <w:rsid w:val="58A55ECA"/>
    <w:rsid w:val="58D631E3"/>
    <w:rsid w:val="598BA222"/>
    <w:rsid w:val="59912265"/>
    <w:rsid w:val="5A741A2D"/>
    <w:rsid w:val="5A7AC12C"/>
    <w:rsid w:val="5AB14B62"/>
    <w:rsid w:val="5ADF090B"/>
    <w:rsid w:val="5AFEE8D9"/>
    <w:rsid w:val="5B7063D8"/>
    <w:rsid w:val="5BA81EA5"/>
    <w:rsid w:val="5BCD064A"/>
    <w:rsid w:val="5C196990"/>
    <w:rsid w:val="5C2FBC4F"/>
    <w:rsid w:val="5CCA4C42"/>
    <w:rsid w:val="5CD42605"/>
    <w:rsid w:val="5CDDFD5E"/>
    <w:rsid w:val="5D43EF06"/>
    <w:rsid w:val="5D84A396"/>
    <w:rsid w:val="5DCCAF62"/>
    <w:rsid w:val="5DDCAB6A"/>
    <w:rsid w:val="5DF5312E"/>
    <w:rsid w:val="5E56B1B5"/>
    <w:rsid w:val="5E829C3A"/>
    <w:rsid w:val="5EB3A211"/>
    <w:rsid w:val="5F22D8C4"/>
    <w:rsid w:val="5F51EEC6"/>
    <w:rsid w:val="5F78762F"/>
    <w:rsid w:val="5F84BC85"/>
    <w:rsid w:val="6057C24D"/>
    <w:rsid w:val="6120B125"/>
    <w:rsid w:val="612CD1F0"/>
    <w:rsid w:val="617999F1"/>
    <w:rsid w:val="61FE1C57"/>
    <w:rsid w:val="62A5A7C8"/>
    <w:rsid w:val="62A6EB59"/>
    <w:rsid w:val="62B016F1"/>
    <w:rsid w:val="62D87853"/>
    <w:rsid w:val="62E45969"/>
    <w:rsid w:val="6322DEB2"/>
    <w:rsid w:val="6336F24D"/>
    <w:rsid w:val="63A36111"/>
    <w:rsid w:val="63FBD50C"/>
    <w:rsid w:val="646472B2"/>
    <w:rsid w:val="648029CA"/>
    <w:rsid w:val="64C5F339"/>
    <w:rsid w:val="654F32C1"/>
    <w:rsid w:val="65602933"/>
    <w:rsid w:val="658F8EA8"/>
    <w:rsid w:val="66004313"/>
    <w:rsid w:val="661BFA2B"/>
    <w:rsid w:val="663C7487"/>
    <w:rsid w:val="6669B120"/>
    <w:rsid w:val="67726EF6"/>
    <w:rsid w:val="677A5C7C"/>
    <w:rsid w:val="67EF6C88"/>
    <w:rsid w:val="67FD93FB"/>
    <w:rsid w:val="68022782"/>
    <w:rsid w:val="680A2088"/>
    <w:rsid w:val="6833D1D3"/>
    <w:rsid w:val="6881AB5A"/>
    <w:rsid w:val="6912766E"/>
    <w:rsid w:val="692E5CA2"/>
    <w:rsid w:val="69B24248"/>
    <w:rsid w:val="6A12A295"/>
    <w:rsid w:val="6A7D8DD1"/>
    <w:rsid w:val="6A901E39"/>
    <w:rsid w:val="6AC8489F"/>
    <w:rsid w:val="6AEF6B4E"/>
    <w:rsid w:val="6BA9B3EA"/>
    <w:rsid w:val="6BB57891"/>
    <w:rsid w:val="6C4DCD9F"/>
    <w:rsid w:val="6C6877E5"/>
    <w:rsid w:val="6CD8F2A4"/>
    <w:rsid w:val="6CDBDBAD"/>
    <w:rsid w:val="6DA9ABA1"/>
    <w:rsid w:val="6DD606D7"/>
    <w:rsid w:val="6DE5E791"/>
    <w:rsid w:val="6DF15C76"/>
    <w:rsid w:val="6E079DD6"/>
    <w:rsid w:val="6E270C10"/>
    <w:rsid w:val="6E341E91"/>
    <w:rsid w:val="6E6BAE2E"/>
    <w:rsid w:val="6F0C941C"/>
    <w:rsid w:val="6F5C62CD"/>
    <w:rsid w:val="6F65D958"/>
    <w:rsid w:val="6F7537E0"/>
    <w:rsid w:val="6F856E61"/>
    <w:rsid w:val="6F92114A"/>
    <w:rsid w:val="70362030"/>
    <w:rsid w:val="707C406C"/>
    <w:rsid w:val="708C3C74"/>
    <w:rsid w:val="7138370E"/>
    <w:rsid w:val="715EACD2"/>
    <w:rsid w:val="71AC63C7"/>
    <w:rsid w:val="71E620AF"/>
    <w:rsid w:val="71EFBB05"/>
    <w:rsid w:val="729F0335"/>
    <w:rsid w:val="72A6BC64"/>
    <w:rsid w:val="72BD0F23"/>
    <w:rsid w:val="73026AB9"/>
    <w:rsid w:val="735DC7B0"/>
    <w:rsid w:val="73D0B009"/>
    <w:rsid w:val="73D173B0"/>
    <w:rsid w:val="73D3525C"/>
    <w:rsid w:val="73D81968"/>
    <w:rsid w:val="74704929"/>
    <w:rsid w:val="749E3B1A"/>
    <w:rsid w:val="751645F4"/>
    <w:rsid w:val="75553112"/>
    <w:rsid w:val="75F4AFE5"/>
    <w:rsid w:val="760F13A7"/>
    <w:rsid w:val="762E2A65"/>
    <w:rsid w:val="76321DF5"/>
    <w:rsid w:val="765A85D7"/>
    <w:rsid w:val="767FD4EA"/>
    <w:rsid w:val="76ABBF6F"/>
    <w:rsid w:val="77908046"/>
    <w:rsid w:val="77F65638"/>
    <w:rsid w:val="780B6E6F"/>
    <w:rsid w:val="781B5EB0"/>
    <w:rsid w:val="788CD1D4"/>
    <w:rsid w:val="78A4E4D3"/>
    <w:rsid w:val="78A90258"/>
    <w:rsid w:val="791361CE"/>
    <w:rsid w:val="792C50A7"/>
    <w:rsid w:val="79448C07"/>
    <w:rsid w:val="79922699"/>
    <w:rsid w:val="79C45E14"/>
    <w:rsid w:val="79C4BBF4"/>
    <w:rsid w:val="79DD43AB"/>
    <w:rsid w:val="7AC82108"/>
    <w:rsid w:val="7B058F18"/>
    <w:rsid w:val="7B53460D"/>
    <w:rsid w:val="7B68BC48"/>
    <w:rsid w:val="7B7CDC58"/>
    <w:rsid w:val="7BAF9EAE"/>
    <w:rsid w:val="7BCC8446"/>
    <w:rsid w:val="7BD40334"/>
    <w:rsid w:val="7BF1F468"/>
    <w:rsid w:val="7C29A98C"/>
    <w:rsid w:val="7CC9C75B"/>
    <w:rsid w:val="7D1E32B9"/>
    <w:rsid w:val="7D47B797"/>
    <w:rsid w:val="7D6854A7"/>
    <w:rsid w:val="7DC579ED"/>
    <w:rsid w:val="7DC9B104"/>
    <w:rsid w:val="7E6597BC"/>
    <w:rsid w:val="7E7651F9"/>
    <w:rsid w:val="7E8AE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FD5E"/>
  <w15:chartTrackingRefBased/>
  <w15:docId w15:val="{0CC3D049-89C1-441B-9E7D-3E261C96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3DE9AD76"/>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semiHidden/>
    <w:unhideWhenUsed/>
    <w:rsid w:val="000A69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4141"/>
  </w:style>
  <w:style w:type="paragraph" w:styleId="Footer">
    <w:name w:val="footer"/>
    <w:basedOn w:val="Normal"/>
    <w:link w:val="FooterChar"/>
    <w:uiPriority w:val="99"/>
    <w:semiHidden/>
    <w:unhideWhenUsed/>
    <w:rsid w:val="000A69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licy@dpa.org.nz" TargetMode="External"/><Relationship Id="rId5" Type="http://schemas.openxmlformats.org/officeDocument/2006/relationships/styles" Target="styles.xml"/><Relationship Id="rId15" Type="http://schemas.openxmlformats.org/officeDocument/2006/relationships/hyperlink" Target="https://www.odi.govt.nz/nz-disability-strategy/"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org/development/desa/disabilities/convention-on-the-rights-of-persons-with-disabilitie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zherald.co.nz/nz/editorial-acc-culture-must-be-more-fair-and-open/ZCHN2RIDLVC3X5I52IYHZBHB7U/" TargetMode="External"/><Relationship Id="rId2" Type="http://schemas.openxmlformats.org/officeDocument/2006/relationships/hyperlink" Target="https://waitangitribunal.govt.nz/news/report-on-stage-one-of-health-services-and-outcomes-released/" TargetMode="External"/><Relationship Id="rId1" Type="http://schemas.openxmlformats.org/officeDocument/2006/relationships/hyperlink" Target="https://forster.co.nz/report" TargetMode="External"/><Relationship Id="rId5" Type="http://schemas.openxmlformats.org/officeDocument/2006/relationships/hyperlink" Target="https://www.nzta.govt.nz/resources/research/reports/690" TargetMode="External"/><Relationship Id="rId4" Type="http://schemas.openxmlformats.org/officeDocument/2006/relationships/hyperlink" Target="https://www.acc.co.nz/assets/provider/impairment-assessment-services-o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SharedWithUsers xmlns="d2301f34-5cde-48a5-92d5-a0089b6a6a0e">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12E2D-54F4-49B5-B90B-BBD6A5C98368}">
  <ds:schemaRefs>
    <ds:schemaRef ds:uri="http://schemas.microsoft.com/sharepoint/v3/contenttype/forms"/>
  </ds:schemaRefs>
</ds:datastoreItem>
</file>

<file path=customXml/itemProps2.xml><?xml version="1.0" encoding="utf-8"?>
<ds:datastoreItem xmlns:ds="http://schemas.openxmlformats.org/officeDocument/2006/customXml" ds:itemID="{00A9C064-534D-46F0-9418-DC83ED025C72}">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3.xml><?xml version="1.0" encoding="utf-8"?>
<ds:datastoreItem xmlns:ds="http://schemas.openxmlformats.org/officeDocument/2006/customXml" ds:itemID="{9B4671BF-C72C-4A65-8427-28E7B1B3A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Pip Townsend</cp:lastModifiedBy>
  <cp:revision>2</cp:revision>
  <dcterms:created xsi:type="dcterms:W3CDTF">2024-04-11T01:57:00Z</dcterms:created>
  <dcterms:modified xsi:type="dcterms:W3CDTF">2024-04-11T01:57:00Z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