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5AA72B65" w:rsidR="00587C7D" w:rsidRPr="005244AE" w:rsidRDefault="00532EFE" w:rsidP="00E9298B">
      <w:r>
        <w:t>February</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16849D14" w:rsidR="000A33E1" w:rsidRPr="005244AE" w:rsidRDefault="00587C7D" w:rsidP="00E9298B">
      <w:r w:rsidRPr="005244AE">
        <w:t>To</w:t>
      </w:r>
      <w:r w:rsidR="00257134">
        <w:t xml:space="preserve"> </w:t>
      </w:r>
      <w:r w:rsidR="00532EFE">
        <w:t>Education and Workforce Committee</w:t>
      </w:r>
    </w:p>
    <w:p w14:paraId="56F6172C" w14:textId="2F73CB94"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 </w:t>
      </w:r>
      <w:r w:rsidR="00532EFE">
        <w:t>Accident Compensation (Maternal Birth Injury and Other Matters) Amendment Bill.</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8F692E"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7835BDF"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8D5AF5">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3D5B5AAC" w14:textId="79FEAE21" w:rsidR="003E3C38" w:rsidRDefault="00C0441C" w:rsidP="004D53A5">
      <w:pPr>
        <w:pStyle w:val="Heading1"/>
      </w:pPr>
      <w:r>
        <w:t>United Nations Convention on the Rights of Persons with Disabilities (UNCRPD)</w:t>
      </w:r>
    </w:p>
    <w:p w14:paraId="0B993624" w14:textId="71CADC87" w:rsidR="00573EA0" w:rsidRDefault="00573EA0" w:rsidP="00573EA0">
      <w:pPr>
        <w:pStyle w:val="Heading2"/>
        <w:spacing w:before="0" w:after="200"/>
        <w:ind w:left="0" w:right="0"/>
        <w:rPr>
          <w:b/>
          <w:bCs/>
          <w:sz w:val="28"/>
          <w:szCs w:val="28"/>
        </w:rPr>
      </w:pPr>
      <w:r>
        <w:rPr>
          <w:b/>
          <w:bCs/>
          <w:sz w:val="28"/>
          <w:szCs w:val="28"/>
        </w:rPr>
        <w:t>Government obligations:</w:t>
      </w:r>
    </w:p>
    <w:p w14:paraId="0E7B2C0B" w14:textId="4D61743E" w:rsidR="00573EA0" w:rsidRPr="00573EA0" w:rsidRDefault="00573EA0" w:rsidP="00573EA0">
      <w:pPr>
        <w:rPr>
          <w:lang w:eastAsia="en-NZ"/>
        </w:rPr>
      </w:pPr>
      <w:r>
        <w:rPr>
          <w:lang w:eastAsia="en-NZ"/>
        </w:rPr>
        <w:t>The UNCRPD</w:t>
      </w:r>
      <w:r w:rsidR="003747E8">
        <w:rPr>
          <w:rStyle w:val="EndnoteReference"/>
          <w:lang w:eastAsia="en-NZ"/>
        </w:rPr>
        <w:endnoteReference w:id="1"/>
      </w:r>
      <w:r>
        <w:rPr>
          <w:lang w:eastAsia="en-NZ"/>
        </w:rPr>
        <w:t xml:space="preserve"> places an obligation on Government to ensure and promote the full realisation of all human rights and fundamental freedoms for all disabled people without discrimination of any kind </w:t>
      </w:r>
      <w:proofErr w:type="gramStart"/>
      <w:r>
        <w:rPr>
          <w:lang w:eastAsia="en-NZ"/>
        </w:rPr>
        <w:t>on the basis of</w:t>
      </w:r>
      <w:proofErr w:type="gramEnd"/>
      <w:r>
        <w:rPr>
          <w:lang w:eastAsia="en-NZ"/>
        </w:rPr>
        <w:t xml:space="preserve"> disability</w:t>
      </w:r>
      <w:r w:rsidR="003747E8">
        <w:rPr>
          <w:lang w:eastAsia="en-NZ"/>
        </w:rPr>
        <w:t>.</w:t>
      </w:r>
    </w:p>
    <w:p w14:paraId="0FBEBF2D" w14:textId="36690F06" w:rsidR="00573EA0" w:rsidRDefault="00B227DA" w:rsidP="00573EA0">
      <w:pPr>
        <w:pStyle w:val="Heading2"/>
        <w:spacing w:before="0" w:after="200"/>
        <w:ind w:left="0" w:right="0"/>
        <w:rPr>
          <w:b/>
          <w:bCs/>
          <w:sz w:val="28"/>
          <w:szCs w:val="28"/>
        </w:rPr>
      </w:pPr>
      <w:r>
        <w:rPr>
          <w:b/>
          <w:bCs/>
          <w:sz w:val="28"/>
          <w:szCs w:val="28"/>
        </w:rPr>
        <w:t>UNCRPD is the minimum standard:</w:t>
      </w:r>
    </w:p>
    <w:p w14:paraId="77723A95" w14:textId="13EC85ED" w:rsidR="00B227DA" w:rsidRPr="00B227DA" w:rsidRDefault="00B227DA" w:rsidP="00B227DA">
      <w:pPr>
        <w:rPr>
          <w:lang w:eastAsia="en-NZ"/>
        </w:rPr>
      </w:pPr>
      <w:r>
        <w:rPr>
          <w:lang w:eastAsia="en-NZ"/>
        </w:rPr>
        <w:t>DPA upholds the UNCRPD as the minimum standard for our participation in society.</w:t>
      </w:r>
    </w:p>
    <w:p w14:paraId="23B8C863" w14:textId="79699EB9" w:rsidR="00573EA0" w:rsidRDefault="00B227DA" w:rsidP="00573EA0">
      <w:pPr>
        <w:pStyle w:val="Heading2"/>
        <w:spacing w:before="0" w:after="200"/>
        <w:ind w:left="0" w:right="0"/>
        <w:rPr>
          <w:b/>
          <w:bCs/>
          <w:sz w:val="28"/>
          <w:szCs w:val="28"/>
        </w:rPr>
      </w:pPr>
      <w:r>
        <w:rPr>
          <w:b/>
          <w:bCs/>
          <w:sz w:val="28"/>
          <w:szCs w:val="28"/>
        </w:rPr>
        <w:t>Partnership with DPOs (Article 4.3):</w:t>
      </w:r>
    </w:p>
    <w:p w14:paraId="63FB1897" w14:textId="3827D5C4" w:rsidR="00B227DA" w:rsidRDefault="00FA3E8E" w:rsidP="00B227DA">
      <w:pPr>
        <w:rPr>
          <w:lang w:eastAsia="en-NZ"/>
        </w:rPr>
      </w:pPr>
      <w:r>
        <w:rPr>
          <w:lang w:eastAsia="en-NZ"/>
        </w:rPr>
        <w:t>The implementation of the UNCRPD depends on a partnership between DPOs and the Government.  This 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6B409099" w14:textId="2212D085" w:rsidR="009A6FA7" w:rsidRPr="00B227DA" w:rsidRDefault="009A6FA7" w:rsidP="00B227DA">
      <w:pPr>
        <w:rPr>
          <w:lang w:eastAsia="en-NZ"/>
        </w:rPr>
      </w:pPr>
      <w:r>
        <w:rPr>
          <w:lang w:eastAsia="en-NZ"/>
        </w:rPr>
        <w:lastRenderedPageBreak/>
        <w:t>Other key Articles of the UNCRPD relevant to this submission are:</w:t>
      </w:r>
    </w:p>
    <w:p w14:paraId="4EA0CCE1" w14:textId="1ADC4062" w:rsidR="00573EA0" w:rsidRPr="00366994" w:rsidRDefault="00573EA0" w:rsidP="00573EA0">
      <w:pPr>
        <w:pStyle w:val="Heading2"/>
        <w:spacing w:before="0" w:after="200"/>
        <w:ind w:left="0" w:right="0"/>
        <w:rPr>
          <w:b/>
          <w:bCs/>
          <w:sz w:val="28"/>
          <w:szCs w:val="28"/>
        </w:rPr>
      </w:pPr>
      <w:r w:rsidRPr="00366994">
        <w:rPr>
          <w:b/>
          <w:bCs/>
          <w:sz w:val="28"/>
          <w:szCs w:val="28"/>
        </w:rPr>
        <w:t xml:space="preserve">Article </w:t>
      </w:r>
      <w:r w:rsidR="00277B95" w:rsidRPr="00366994">
        <w:rPr>
          <w:b/>
          <w:bCs/>
          <w:sz w:val="28"/>
          <w:szCs w:val="28"/>
        </w:rPr>
        <w:t>3</w:t>
      </w:r>
      <w:r w:rsidRPr="00366994">
        <w:rPr>
          <w:b/>
          <w:bCs/>
          <w:sz w:val="28"/>
          <w:szCs w:val="28"/>
        </w:rPr>
        <w:t xml:space="preserve"> </w:t>
      </w:r>
      <w:r w:rsidR="00C32B8A" w:rsidRPr="00366994">
        <w:rPr>
          <w:b/>
          <w:bCs/>
          <w:sz w:val="28"/>
          <w:szCs w:val="28"/>
        </w:rPr>
        <w:t>-</w:t>
      </w:r>
      <w:r w:rsidRPr="00366994">
        <w:rPr>
          <w:b/>
          <w:bCs/>
          <w:sz w:val="28"/>
          <w:szCs w:val="28"/>
        </w:rPr>
        <w:t xml:space="preserve"> </w:t>
      </w:r>
      <w:r w:rsidR="00277B95" w:rsidRPr="00366994">
        <w:rPr>
          <w:b/>
          <w:bCs/>
          <w:sz w:val="28"/>
          <w:szCs w:val="28"/>
        </w:rPr>
        <w:t xml:space="preserve">General Principles </w:t>
      </w:r>
    </w:p>
    <w:p w14:paraId="09E0A8C9" w14:textId="4A90E51B" w:rsidR="00573EA0" w:rsidRPr="00366994" w:rsidRDefault="00573EA0" w:rsidP="00366994">
      <w:pPr>
        <w:pStyle w:val="Heading2"/>
        <w:spacing w:before="0" w:after="200"/>
        <w:ind w:left="0" w:right="0"/>
        <w:rPr>
          <w:b/>
          <w:bCs/>
          <w:sz w:val="28"/>
          <w:szCs w:val="28"/>
        </w:rPr>
      </w:pPr>
      <w:r w:rsidRPr="00366994">
        <w:rPr>
          <w:b/>
          <w:bCs/>
          <w:sz w:val="28"/>
          <w:szCs w:val="28"/>
        </w:rPr>
        <w:t xml:space="preserve">Article </w:t>
      </w:r>
      <w:r w:rsidR="00D001C0" w:rsidRPr="00366994">
        <w:rPr>
          <w:b/>
          <w:bCs/>
          <w:sz w:val="28"/>
          <w:szCs w:val="28"/>
        </w:rPr>
        <w:t>5</w:t>
      </w:r>
      <w:r w:rsidRPr="00366994">
        <w:rPr>
          <w:b/>
          <w:bCs/>
          <w:sz w:val="28"/>
          <w:szCs w:val="28"/>
        </w:rPr>
        <w:t xml:space="preserve"> </w:t>
      </w:r>
      <w:r w:rsidR="00C32B8A" w:rsidRPr="00366994">
        <w:rPr>
          <w:b/>
          <w:bCs/>
          <w:sz w:val="28"/>
          <w:szCs w:val="28"/>
        </w:rPr>
        <w:t>-</w:t>
      </w:r>
      <w:r w:rsidRPr="00366994">
        <w:rPr>
          <w:b/>
          <w:bCs/>
          <w:sz w:val="28"/>
          <w:szCs w:val="28"/>
        </w:rPr>
        <w:t xml:space="preserve"> </w:t>
      </w:r>
      <w:r w:rsidR="00D001C0" w:rsidRPr="00366994">
        <w:rPr>
          <w:b/>
          <w:bCs/>
          <w:sz w:val="28"/>
          <w:szCs w:val="28"/>
        </w:rPr>
        <w:t>Equality and Non-Discrimination</w:t>
      </w:r>
    </w:p>
    <w:p w14:paraId="33B21DFE" w14:textId="7EF20F0A" w:rsidR="00FB068D" w:rsidRPr="00366994" w:rsidRDefault="00366994" w:rsidP="00366994">
      <w:pPr>
        <w:pStyle w:val="Heading2"/>
        <w:spacing w:before="0" w:after="200"/>
        <w:ind w:left="0" w:right="0"/>
        <w:rPr>
          <w:b/>
          <w:bCs/>
          <w:sz w:val="28"/>
          <w:szCs w:val="28"/>
        </w:rPr>
      </w:pPr>
      <w:r w:rsidRPr="00366994">
        <w:rPr>
          <w:b/>
          <w:bCs/>
          <w:sz w:val="28"/>
          <w:szCs w:val="28"/>
        </w:rPr>
        <w:t xml:space="preserve">Article 6 </w:t>
      </w:r>
      <w:r w:rsidR="004B1ACA" w:rsidRPr="00366994">
        <w:rPr>
          <w:b/>
          <w:bCs/>
          <w:sz w:val="28"/>
          <w:szCs w:val="28"/>
        </w:rPr>
        <w:t>-</w:t>
      </w:r>
      <w:r w:rsidRPr="00366994">
        <w:rPr>
          <w:b/>
          <w:bCs/>
          <w:sz w:val="28"/>
          <w:szCs w:val="28"/>
        </w:rPr>
        <w:t xml:space="preserve"> Women with Disabilities</w:t>
      </w:r>
    </w:p>
    <w:p w14:paraId="0AB7E0B8" w14:textId="6033CCD0" w:rsidR="00573EA0" w:rsidRPr="00366994" w:rsidRDefault="00573EA0" w:rsidP="00573EA0">
      <w:pPr>
        <w:pStyle w:val="Heading2"/>
        <w:spacing w:before="0" w:after="200"/>
        <w:ind w:left="0" w:right="0"/>
        <w:rPr>
          <w:b/>
          <w:bCs/>
          <w:sz w:val="28"/>
          <w:szCs w:val="28"/>
        </w:rPr>
      </w:pPr>
      <w:r w:rsidRPr="00366994">
        <w:rPr>
          <w:b/>
          <w:bCs/>
          <w:sz w:val="28"/>
          <w:szCs w:val="28"/>
        </w:rPr>
        <w:t xml:space="preserve">Article </w:t>
      </w:r>
      <w:r w:rsidR="00C32B8A" w:rsidRPr="00366994">
        <w:rPr>
          <w:b/>
          <w:bCs/>
          <w:sz w:val="28"/>
          <w:szCs w:val="28"/>
        </w:rPr>
        <w:t>7</w:t>
      </w:r>
      <w:r w:rsidRPr="00366994">
        <w:rPr>
          <w:b/>
          <w:bCs/>
          <w:sz w:val="28"/>
          <w:szCs w:val="28"/>
        </w:rPr>
        <w:t xml:space="preserve"> </w:t>
      </w:r>
      <w:r w:rsidR="00C32B8A" w:rsidRPr="00366994">
        <w:rPr>
          <w:b/>
          <w:bCs/>
          <w:sz w:val="28"/>
          <w:szCs w:val="28"/>
        </w:rPr>
        <w:t>-</w:t>
      </w:r>
      <w:r w:rsidRPr="00366994">
        <w:rPr>
          <w:b/>
          <w:bCs/>
          <w:sz w:val="28"/>
          <w:szCs w:val="28"/>
        </w:rPr>
        <w:t xml:space="preserve"> </w:t>
      </w:r>
      <w:r w:rsidR="00C32B8A" w:rsidRPr="00366994">
        <w:rPr>
          <w:b/>
          <w:bCs/>
          <w:sz w:val="28"/>
          <w:szCs w:val="28"/>
        </w:rPr>
        <w:t>Children with Disabilities</w:t>
      </w:r>
    </w:p>
    <w:p w14:paraId="1740CDBC" w14:textId="58C64D50" w:rsidR="00294329" w:rsidRPr="00366994" w:rsidRDefault="00294329" w:rsidP="00294329">
      <w:pPr>
        <w:pStyle w:val="Heading2"/>
        <w:spacing w:before="0" w:after="200"/>
        <w:ind w:left="0" w:right="0"/>
        <w:rPr>
          <w:b/>
          <w:bCs/>
          <w:sz w:val="28"/>
          <w:szCs w:val="28"/>
        </w:rPr>
      </w:pPr>
      <w:r w:rsidRPr="00366994">
        <w:rPr>
          <w:b/>
          <w:bCs/>
          <w:sz w:val="28"/>
          <w:szCs w:val="28"/>
        </w:rPr>
        <w:t xml:space="preserve">Article </w:t>
      </w:r>
      <w:r w:rsidR="00FB068D" w:rsidRPr="00366994">
        <w:rPr>
          <w:b/>
          <w:bCs/>
          <w:sz w:val="28"/>
          <w:szCs w:val="28"/>
        </w:rPr>
        <w:t>25</w:t>
      </w:r>
      <w:r w:rsidRPr="00366994">
        <w:rPr>
          <w:b/>
          <w:bCs/>
          <w:sz w:val="28"/>
          <w:szCs w:val="28"/>
        </w:rPr>
        <w:t xml:space="preserve"> </w:t>
      </w:r>
      <w:r w:rsidR="000633A0" w:rsidRPr="00366994">
        <w:rPr>
          <w:b/>
          <w:bCs/>
          <w:sz w:val="28"/>
          <w:szCs w:val="28"/>
        </w:rPr>
        <w:t>-</w:t>
      </w:r>
      <w:r w:rsidRPr="00366994">
        <w:rPr>
          <w:b/>
          <w:bCs/>
          <w:sz w:val="28"/>
          <w:szCs w:val="28"/>
        </w:rPr>
        <w:t xml:space="preserve"> </w:t>
      </w:r>
      <w:r w:rsidR="00FB068D" w:rsidRPr="00366994">
        <w:rPr>
          <w:b/>
          <w:bCs/>
          <w:sz w:val="28"/>
          <w:szCs w:val="28"/>
        </w:rPr>
        <w:t>Health</w:t>
      </w:r>
    </w:p>
    <w:p w14:paraId="16D96972" w14:textId="2FB70A3A" w:rsidR="00A56FEE" w:rsidRPr="00366994" w:rsidRDefault="00294329" w:rsidP="00294329">
      <w:pPr>
        <w:pStyle w:val="Heading2"/>
        <w:spacing w:before="0" w:after="200"/>
        <w:ind w:left="0" w:right="0"/>
        <w:rPr>
          <w:b/>
          <w:bCs/>
          <w:sz w:val="28"/>
          <w:szCs w:val="28"/>
        </w:rPr>
      </w:pPr>
      <w:r w:rsidRPr="00366994">
        <w:rPr>
          <w:b/>
          <w:bCs/>
          <w:sz w:val="28"/>
          <w:szCs w:val="28"/>
        </w:rPr>
        <w:t xml:space="preserve">Article </w:t>
      </w:r>
      <w:r w:rsidR="00FB068D" w:rsidRPr="00366994">
        <w:rPr>
          <w:b/>
          <w:bCs/>
          <w:sz w:val="28"/>
          <w:szCs w:val="28"/>
        </w:rPr>
        <w:t>26 - Habilitation and Rehabilitation</w:t>
      </w:r>
    </w:p>
    <w:p w14:paraId="15FD3B6D" w14:textId="5AA35664" w:rsidR="00A56FEE" w:rsidRPr="006F2712" w:rsidRDefault="00CF72EE" w:rsidP="00A56FEE">
      <w:pPr>
        <w:pStyle w:val="Heading1"/>
      </w:pPr>
      <w:r>
        <w:t>The New Zealand Disability Strategy (2016-2026)</w:t>
      </w:r>
      <w:r w:rsidR="00A56FEE">
        <w:t xml:space="preserve"> </w:t>
      </w:r>
    </w:p>
    <w:p w14:paraId="6DE0B767" w14:textId="529C4155" w:rsidR="00CF72EE" w:rsidRDefault="00CF72EE" w:rsidP="00CF72EE">
      <w:r>
        <w:t>The New Zealand Disability Strategy</w:t>
      </w:r>
      <w:r w:rsidR="00824CEA">
        <w:rPr>
          <w:rStyle w:val="EndnoteReference"/>
        </w:rPr>
        <w:endnoteReference w:id="2"/>
      </w:r>
      <w:r w:rsidR="00824CEA">
        <w:t>, which is the Government’s primary vehicle for implementing the UNCRPD, has the following outcome relevant to this Bill:</w:t>
      </w:r>
    </w:p>
    <w:p w14:paraId="14943D38" w14:textId="1589B73C" w:rsidR="00A56FEE" w:rsidRPr="00824CEA" w:rsidRDefault="00F93FDC" w:rsidP="00824CEA">
      <w:pPr>
        <w:pStyle w:val="Heading2"/>
        <w:spacing w:before="0" w:after="200"/>
        <w:ind w:left="0" w:right="0"/>
        <w:rPr>
          <w:b/>
          <w:bCs/>
          <w:sz w:val="28"/>
          <w:szCs w:val="28"/>
        </w:rPr>
      </w:pPr>
      <w:r>
        <w:rPr>
          <w:b/>
          <w:bCs/>
          <w:sz w:val="28"/>
          <w:szCs w:val="28"/>
        </w:rPr>
        <w:t xml:space="preserve">Outcome 3 </w:t>
      </w:r>
      <w:r w:rsidRPr="00366994">
        <w:rPr>
          <w:b/>
          <w:bCs/>
          <w:sz w:val="28"/>
          <w:szCs w:val="28"/>
        </w:rPr>
        <w:t>-</w:t>
      </w:r>
      <w:r>
        <w:rPr>
          <w:b/>
          <w:bCs/>
          <w:sz w:val="28"/>
          <w:szCs w:val="28"/>
        </w:rPr>
        <w:t xml:space="preserve"> Health and Wellbeing</w:t>
      </w:r>
    </w:p>
    <w:p w14:paraId="4F2E2593" w14:textId="5BD6B605" w:rsidR="00A56FEE" w:rsidRPr="006F2712" w:rsidRDefault="00A56FEE" w:rsidP="00A56FEE">
      <w:pPr>
        <w:pStyle w:val="Heading1"/>
      </w:pPr>
      <w:r>
        <w:t xml:space="preserve">The </w:t>
      </w:r>
      <w:r w:rsidR="00CB0E72">
        <w:t>S</w:t>
      </w:r>
      <w:r>
        <w:t xml:space="preserve">ubmission </w:t>
      </w:r>
    </w:p>
    <w:p w14:paraId="4ADBE312" w14:textId="5CFFC79F" w:rsidR="00D45D28" w:rsidRPr="000B415D" w:rsidRDefault="00AC772C" w:rsidP="003E3C38">
      <w:pPr>
        <w:rPr>
          <w:rFonts w:cs="Arial"/>
        </w:rPr>
      </w:pPr>
      <w:r>
        <w:rPr>
          <w:rFonts w:cs="Arial"/>
        </w:rPr>
        <w:t xml:space="preserve">DPA </w:t>
      </w:r>
      <w:r w:rsidR="00CB0E72">
        <w:rPr>
          <w:rFonts w:cs="Arial"/>
        </w:rPr>
        <w:t xml:space="preserve">supports the intent of this Bill to better care for birth parents who receive injuries </w:t>
      </w:r>
      <w:proofErr w:type="gramStart"/>
      <w:r w:rsidR="00CB0E72">
        <w:rPr>
          <w:rFonts w:cs="Arial"/>
        </w:rPr>
        <w:t>as a result of</w:t>
      </w:r>
      <w:proofErr w:type="gramEnd"/>
      <w:r w:rsidR="00CB0E72">
        <w:rPr>
          <w:rFonts w:cs="Arial"/>
        </w:rPr>
        <w:t xml:space="preserve"> giving birth.  However, we believe that the Bill requires significant improvements </w:t>
      </w:r>
      <w:proofErr w:type="gramStart"/>
      <w:r w:rsidR="00CB0E72">
        <w:rPr>
          <w:rFonts w:cs="Arial"/>
        </w:rPr>
        <w:t>in order to</w:t>
      </w:r>
      <w:proofErr w:type="gramEnd"/>
      <w:r w:rsidR="00CB0E72">
        <w:rPr>
          <w:rFonts w:cs="Arial"/>
        </w:rPr>
        <w:t xml:space="preserve"> ensure such care is equitable and comprehensive.</w:t>
      </w:r>
    </w:p>
    <w:p w14:paraId="7CA55881" w14:textId="5E0FF615" w:rsidR="007C2FBC" w:rsidRPr="006F2712" w:rsidRDefault="00CB0E72" w:rsidP="00073A38">
      <w:pPr>
        <w:pStyle w:val="Heading1"/>
      </w:pPr>
      <w:r>
        <w:t>DPA’s Recommendations</w:t>
      </w:r>
      <w:r w:rsidR="007C2FBC">
        <w:t xml:space="preserve"> </w:t>
      </w:r>
    </w:p>
    <w:p w14:paraId="3167F817" w14:textId="360469F7" w:rsidR="007C2FBC" w:rsidRDefault="00CB0E72" w:rsidP="003E3C38">
      <w:pPr>
        <w:rPr>
          <w:rFonts w:cs="Arial"/>
        </w:rPr>
      </w:pPr>
      <w:proofErr w:type="gramStart"/>
      <w:r>
        <w:rPr>
          <w:rFonts w:cs="Arial"/>
        </w:rPr>
        <w:t>In order to</w:t>
      </w:r>
      <w:proofErr w:type="gramEnd"/>
      <w:r>
        <w:rPr>
          <w:rFonts w:cs="Arial"/>
        </w:rPr>
        <w:t xml:space="preserve"> make the Bill more equitable and comprehensive, DPA recommends the following:</w:t>
      </w:r>
    </w:p>
    <w:p w14:paraId="6262080A" w14:textId="6E9520AA" w:rsidR="00CB0E72" w:rsidRDefault="00383840" w:rsidP="00F60BB9">
      <w:pPr>
        <w:pStyle w:val="Heading2"/>
        <w:numPr>
          <w:ilvl w:val="0"/>
          <w:numId w:val="26"/>
        </w:numPr>
        <w:spacing w:before="0" w:after="200" w:line="240" w:lineRule="auto"/>
        <w:ind w:left="0" w:right="0"/>
        <w:rPr>
          <w:b/>
          <w:bCs/>
          <w:sz w:val="28"/>
          <w:szCs w:val="28"/>
        </w:rPr>
      </w:pPr>
      <w:r>
        <w:rPr>
          <w:b/>
          <w:bCs/>
          <w:sz w:val="28"/>
          <w:szCs w:val="28"/>
        </w:rPr>
        <w:t>Recommendation 1</w:t>
      </w:r>
    </w:p>
    <w:p w14:paraId="6A130787" w14:textId="150CFAC6" w:rsidR="00F60BB9" w:rsidRDefault="00F60BB9" w:rsidP="00F60BB9">
      <w:pPr>
        <w:spacing w:line="276" w:lineRule="auto"/>
        <w:rPr>
          <w:lang w:eastAsia="en-NZ"/>
        </w:rPr>
      </w:pPr>
      <w:r>
        <w:rPr>
          <w:lang w:eastAsia="en-NZ"/>
        </w:rPr>
        <w:t>DPA recommends that the Bill be amended to cover all birth injuries, not just those specifically listed in the Bill.</w:t>
      </w:r>
    </w:p>
    <w:p w14:paraId="4FF5AB4C" w14:textId="28BDDB85" w:rsidR="00383840" w:rsidRDefault="00F60BB9" w:rsidP="00160EF3">
      <w:pPr>
        <w:spacing w:line="276" w:lineRule="auto"/>
        <w:rPr>
          <w:lang w:eastAsia="en-NZ"/>
        </w:rPr>
      </w:pPr>
      <w:r>
        <w:rPr>
          <w:lang w:eastAsia="en-NZ"/>
        </w:rPr>
        <w:lastRenderedPageBreak/>
        <w:t>Covering only some birth injuries will lead to inequities where some parents receive support and others do not, even though the cause of injury is the same.</w:t>
      </w:r>
    </w:p>
    <w:p w14:paraId="49C8C62E" w14:textId="5EC2215C" w:rsidR="00383840" w:rsidRDefault="00383840" w:rsidP="00F60BB9">
      <w:pPr>
        <w:pStyle w:val="Heading2"/>
        <w:numPr>
          <w:ilvl w:val="0"/>
          <w:numId w:val="26"/>
        </w:numPr>
        <w:spacing w:before="0" w:after="200" w:line="240" w:lineRule="auto"/>
        <w:ind w:left="0" w:right="0"/>
        <w:rPr>
          <w:b/>
          <w:bCs/>
          <w:sz w:val="28"/>
          <w:szCs w:val="28"/>
        </w:rPr>
      </w:pPr>
      <w:r>
        <w:rPr>
          <w:b/>
          <w:bCs/>
          <w:sz w:val="28"/>
          <w:szCs w:val="28"/>
        </w:rPr>
        <w:t>Recommendation 2</w:t>
      </w:r>
    </w:p>
    <w:p w14:paraId="5886B0AB" w14:textId="3F204042" w:rsidR="003553DC" w:rsidRDefault="003553DC" w:rsidP="003553DC">
      <w:pPr>
        <w:spacing w:line="276" w:lineRule="auto"/>
        <w:rPr>
          <w:lang w:eastAsia="en-NZ"/>
        </w:rPr>
      </w:pPr>
      <w:r>
        <w:rPr>
          <w:lang w:eastAsia="en-NZ"/>
        </w:rPr>
        <w:t xml:space="preserve">DPA strongly recommends that mental health injury from a birth should be covered as a birth injury regardless of </w:t>
      </w:r>
      <w:proofErr w:type="gramStart"/>
      <w:r>
        <w:rPr>
          <w:lang w:eastAsia="en-NZ"/>
        </w:rPr>
        <w:t>whether or not</w:t>
      </w:r>
      <w:proofErr w:type="gramEnd"/>
      <w:r>
        <w:rPr>
          <w:lang w:eastAsia="en-NZ"/>
        </w:rPr>
        <w:t xml:space="preserve"> the birth parent has experienced a physical injury.</w:t>
      </w:r>
    </w:p>
    <w:p w14:paraId="26B3D666" w14:textId="5446B7BC" w:rsidR="00383840" w:rsidRDefault="003553DC" w:rsidP="00CF6E4A">
      <w:pPr>
        <w:spacing w:line="276" w:lineRule="auto"/>
        <w:rPr>
          <w:lang w:eastAsia="en-NZ"/>
        </w:rPr>
      </w:pPr>
      <w:r>
        <w:rPr>
          <w:lang w:eastAsia="en-NZ"/>
        </w:rPr>
        <w:t xml:space="preserve">Many women experience mental health issues after a traumatic </w:t>
      </w:r>
      <w:proofErr w:type="gramStart"/>
      <w:r>
        <w:rPr>
          <w:lang w:eastAsia="en-NZ"/>
        </w:rPr>
        <w:t>birth</w:t>
      </w:r>
      <w:proofErr w:type="gramEnd"/>
      <w:r>
        <w:rPr>
          <w:lang w:eastAsia="en-NZ"/>
        </w:rPr>
        <w:t xml:space="preserve"> and this should be subject to ACC cover.</w:t>
      </w:r>
    </w:p>
    <w:p w14:paraId="7009CC60" w14:textId="4E08A0B7" w:rsidR="00383840" w:rsidRDefault="00383840" w:rsidP="00F60BB9">
      <w:pPr>
        <w:pStyle w:val="Heading2"/>
        <w:numPr>
          <w:ilvl w:val="0"/>
          <w:numId w:val="26"/>
        </w:numPr>
        <w:spacing w:before="0" w:after="200" w:line="240" w:lineRule="auto"/>
        <w:ind w:left="0" w:right="0"/>
        <w:rPr>
          <w:b/>
          <w:bCs/>
          <w:sz w:val="28"/>
          <w:szCs w:val="28"/>
        </w:rPr>
      </w:pPr>
      <w:r>
        <w:rPr>
          <w:b/>
          <w:bCs/>
          <w:sz w:val="28"/>
          <w:szCs w:val="28"/>
        </w:rPr>
        <w:t>Recommendation 3</w:t>
      </w:r>
    </w:p>
    <w:p w14:paraId="3C0A5CCE" w14:textId="2960F418" w:rsidR="00A01791" w:rsidRDefault="00A01791" w:rsidP="00A01791">
      <w:pPr>
        <w:spacing w:line="276" w:lineRule="auto"/>
        <w:rPr>
          <w:lang w:eastAsia="en-NZ"/>
        </w:rPr>
      </w:pPr>
      <w:r>
        <w:rPr>
          <w:lang w:eastAsia="en-NZ"/>
        </w:rPr>
        <w:t>DPA recommends that the coverage of this Bill be made retrospective to enable all parents dealing with the ongoing effects of birth injuries to be eligible for ACC cover.</w:t>
      </w:r>
    </w:p>
    <w:p w14:paraId="7FB1894A" w14:textId="38039A03" w:rsidR="00383840" w:rsidRDefault="00A01791" w:rsidP="00CF6E4A">
      <w:pPr>
        <w:spacing w:line="276" w:lineRule="auto"/>
        <w:rPr>
          <w:lang w:eastAsia="en-NZ"/>
        </w:rPr>
      </w:pPr>
      <w:r>
        <w:rPr>
          <w:lang w:eastAsia="en-NZ"/>
        </w:rPr>
        <w:t xml:space="preserve">The proposed legislation only covers parents who have given birth after 01 October 2022.  </w:t>
      </w:r>
      <w:r w:rsidR="002370E7">
        <w:rPr>
          <w:lang w:eastAsia="en-NZ"/>
        </w:rPr>
        <w:t xml:space="preserve">We believe that it is inequitable to deny entitlement to rehabilitation and other support to people who require it solely </w:t>
      </w:r>
      <w:proofErr w:type="gramStart"/>
      <w:r w:rsidR="002370E7">
        <w:rPr>
          <w:lang w:eastAsia="en-NZ"/>
        </w:rPr>
        <w:t>on the basis of</w:t>
      </w:r>
      <w:proofErr w:type="gramEnd"/>
      <w:r w:rsidR="002370E7">
        <w:rPr>
          <w:lang w:eastAsia="en-NZ"/>
        </w:rPr>
        <w:t xml:space="preserve"> an arbitrary date.</w:t>
      </w:r>
    </w:p>
    <w:p w14:paraId="0F4BA632" w14:textId="73645501" w:rsidR="00383840" w:rsidRDefault="00383840" w:rsidP="00F60BB9">
      <w:pPr>
        <w:pStyle w:val="Heading2"/>
        <w:numPr>
          <w:ilvl w:val="0"/>
          <w:numId w:val="26"/>
        </w:numPr>
        <w:spacing w:before="0" w:after="200" w:line="240" w:lineRule="auto"/>
        <w:ind w:left="0" w:right="0"/>
        <w:rPr>
          <w:b/>
          <w:bCs/>
          <w:sz w:val="28"/>
          <w:szCs w:val="28"/>
        </w:rPr>
      </w:pPr>
      <w:r>
        <w:rPr>
          <w:b/>
          <w:bCs/>
          <w:sz w:val="28"/>
          <w:szCs w:val="28"/>
        </w:rPr>
        <w:t>Recommendation 4</w:t>
      </w:r>
    </w:p>
    <w:p w14:paraId="6B1DFF05" w14:textId="289E71A3" w:rsidR="004C6FDB" w:rsidRDefault="004C6FDB" w:rsidP="004C6FDB">
      <w:pPr>
        <w:spacing w:line="276" w:lineRule="auto"/>
        <w:rPr>
          <w:lang w:eastAsia="en-NZ"/>
        </w:rPr>
      </w:pPr>
      <w:r>
        <w:rPr>
          <w:lang w:eastAsia="en-NZ"/>
        </w:rPr>
        <w:t>DPA strongly recommends that ACC birth injury cover be available to babies who experience injuries during the birthing process.</w:t>
      </w:r>
    </w:p>
    <w:p w14:paraId="67FD7513" w14:textId="7D384272" w:rsidR="00383840" w:rsidRDefault="004C6FDB" w:rsidP="00CF6E4A">
      <w:pPr>
        <w:spacing w:line="276" w:lineRule="auto"/>
        <w:rPr>
          <w:lang w:eastAsia="en-NZ"/>
        </w:rPr>
      </w:pPr>
      <w:r>
        <w:rPr>
          <w:lang w:eastAsia="en-NZ"/>
        </w:rPr>
        <w:t>At present only injuries to new-born babies that are the result of “treatment injuries” during birth are eligible for ACC cover.  This, again, is inequitable and inconsistent.</w:t>
      </w:r>
    </w:p>
    <w:p w14:paraId="560F41A8" w14:textId="5E799E90" w:rsidR="00383840" w:rsidRDefault="00383840" w:rsidP="00F60BB9">
      <w:pPr>
        <w:pStyle w:val="Heading2"/>
        <w:numPr>
          <w:ilvl w:val="0"/>
          <w:numId w:val="26"/>
        </w:numPr>
        <w:spacing w:before="0" w:after="200" w:line="240" w:lineRule="auto"/>
        <w:ind w:left="0" w:right="0"/>
        <w:rPr>
          <w:b/>
          <w:bCs/>
          <w:sz w:val="28"/>
          <w:szCs w:val="28"/>
        </w:rPr>
      </w:pPr>
      <w:r>
        <w:rPr>
          <w:b/>
          <w:bCs/>
          <w:sz w:val="28"/>
          <w:szCs w:val="28"/>
        </w:rPr>
        <w:t>Recommendation 5</w:t>
      </w:r>
    </w:p>
    <w:p w14:paraId="7AC4CFF4" w14:textId="76F8310A" w:rsidR="00B21633" w:rsidRDefault="00B21633" w:rsidP="00B21633">
      <w:pPr>
        <w:spacing w:line="276" w:lineRule="auto"/>
        <w:rPr>
          <w:lang w:eastAsia="en-NZ"/>
        </w:rPr>
      </w:pPr>
      <w:r>
        <w:rPr>
          <w:lang w:eastAsia="en-NZ"/>
        </w:rPr>
        <w:t>DPA strongly recommends that the Government remove the sensitive claims assessment process for women who have experienced sexual assault.</w:t>
      </w:r>
    </w:p>
    <w:p w14:paraId="7593E527" w14:textId="725A1C0D" w:rsidR="00383840" w:rsidRPr="00CF6E4A" w:rsidRDefault="00B21633" w:rsidP="00CF6E4A">
      <w:pPr>
        <w:spacing w:line="276" w:lineRule="auto"/>
        <w:rPr>
          <w:lang w:eastAsia="en-NZ"/>
        </w:rPr>
      </w:pPr>
      <w:r>
        <w:rPr>
          <w:lang w:eastAsia="en-NZ"/>
        </w:rPr>
        <w:t xml:space="preserve">Giving birth is re-traumatising for many women who have experienced sexual trauma.  Women should not need to go through the sensitive claims assessment process </w:t>
      </w:r>
      <w:proofErr w:type="gramStart"/>
      <w:r>
        <w:rPr>
          <w:lang w:eastAsia="en-NZ"/>
        </w:rPr>
        <w:t>in order to</w:t>
      </w:r>
      <w:proofErr w:type="gramEnd"/>
      <w:r>
        <w:rPr>
          <w:lang w:eastAsia="en-NZ"/>
        </w:rPr>
        <w:t xml:space="preserve"> receive ACC cover.</w:t>
      </w:r>
    </w:p>
    <w:p w14:paraId="1C4F7DCE" w14:textId="75E4B69E" w:rsidR="00F60BB9" w:rsidRDefault="00F60BB9" w:rsidP="00F60BB9">
      <w:pPr>
        <w:pStyle w:val="Heading2"/>
        <w:numPr>
          <w:ilvl w:val="0"/>
          <w:numId w:val="26"/>
        </w:numPr>
        <w:spacing w:before="0" w:after="200" w:line="240" w:lineRule="auto"/>
        <w:ind w:left="0" w:right="0"/>
        <w:rPr>
          <w:b/>
          <w:bCs/>
          <w:sz w:val="28"/>
          <w:szCs w:val="28"/>
        </w:rPr>
      </w:pPr>
      <w:r>
        <w:rPr>
          <w:b/>
          <w:bCs/>
          <w:sz w:val="28"/>
          <w:szCs w:val="28"/>
        </w:rPr>
        <w:t>Recommendation 6</w:t>
      </w:r>
    </w:p>
    <w:p w14:paraId="623ED471" w14:textId="612A78EC" w:rsidR="00B21633" w:rsidRDefault="00B21633" w:rsidP="00B21633">
      <w:pPr>
        <w:spacing w:line="276" w:lineRule="auto"/>
        <w:rPr>
          <w:lang w:eastAsia="en-NZ"/>
        </w:rPr>
      </w:pPr>
      <w:r>
        <w:rPr>
          <w:lang w:eastAsia="en-NZ"/>
        </w:rPr>
        <w:t>DPA recommends that this proposed legislation be amended to ensure ACC covers both stand-alone mental trauma and all physical injuries caused by</w:t>
      </w:r>
      <w:r w:rsidR="00F27399">
        <w:rPr>
          <w:lang w:eastAsia="en-NZ"/>
        </w:rPr>
        <w:t xml:space="preserve"> the birthing process, not only those specifically listed in the Bill.</w:t>
      </w:r>
    </w:p>
    <w:p w14:paraId="356DCD8D" w14:textId="4C6EF572" w:rsidR="00F27399" w:rsidRDefault="00F27399" w:rsidP="00B21633">
      <w:pPr>
        <w:spacing w:line="276" w:lineRule="auto"/>
        <w:rPr>
          <w:color w:val="222222"/>
        </w:rPr>
      </w:pPr>
      <w:r>
        <w:rPr>
          <w:lang w:eastAsia="en-NZ"/>
        </w:rPr>
        <w:t xml:space="preserve">A Te Ao </w:t>
      </w:r>
      <w:r>
        <w:rPr>
          <w:color w:val="222222"/>
        </w:rPr>
        <w:t xml:space="preserve">Māori view of maternal health is holistic and recognises the importance of whānau wellbeing, and the connection between orange whānau, oranga tinana, oranga tinengaro and oranga wairau.  </w:t>
      </w:r>
      <w:r w:rsidR="008D3BDD">
        <w:rPr>
          <w:color w:val="222222"/>
        </w:rPr>
        <w:t>This legislation should cover all injuries related to birth so that whānau</w:t>
      </w:r>
      <w:r w:rsidR="00A07AC4">
        <w:rPr>
          <w:color w:val="222222"/>
        </w:rPr>
        <w:t xml:space="preserve"> can get holistic maternal healthcare and do not have to face bureaucratic barriers.</w:t>
      </w:r>
    </w:p>
    <w:p w14:paraId="2DC0358F" w14:textId="7BF65D09" w:rsidR="00383840" w:rsidRPr="00FB24E4" w:rsidRDefault="00A07AC4" w:rsidP="00FB24E4">
      <w:pPr>
        <w:spacing w:line="276" w:lineRule="auto"/>
        <w:rPr>
          <w:lang w:eastAsia="en-NZ"/>
        </w:rPr>
      </w:pPr>
      <w:r>
        <w:rPr>
          <w:color w:val="222222"/>
        </w:rPr>
        <w:lastRenderedPageBreak/>
        <w:t xml:space="preserve">The Accident Compensation Act does not mention Te Tiriti O Waitangi once.  A commitment to Te Tiriti and equitable care for Māori must also be embedded in the legislation so that ACC can work toward bridging disparities for Māori. </w:t>
      </w:r>
    </w:p>
    <w:p w14:paraId="570E9B56" w14:textId="77777777" w:rsidR="007C2FBC" w:rsidRPr="000C419F" w:rsidRDefault="007C2FBC" w:rsidP="000C419F">
      <w:pPr>
        <w:pStyle w:val="ListParagraph"/>
        <w:ind w:left="0"/>
        <w:rPr>
          <w:rFonts w:cs="Arial"/>
        </w:rPr>
      </w:pPr>
    </w:p>
    <w:sectPr w:rsidR="007C2FBC" w:rsidRPr="000C419F"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0637" w14:textId="77777777" w:rsidR="008F692E" w:rsidRDefault="008F692E" w:rsidP="00634AEC">
      <w:pPr>
        <w:spacing w:after="0" w:line="240" w:lineRule="auto"/>
      </w:pPr>
      <w:r>
        <w:separator/>
      </w:r>
    </w:p>
  </w:endnote>
  <w:endnote w:type="continuationSeparator" w:id="0">
    <w:p w14:paraId="0EE72C7B" w14:textId="77777777" w:rsidR="008F692E" w:rsidRDefault="008F692E" w:rsidP="00634AEC">
      <w:pPr>
        <w:spacing w:after="0" w:line="240" w:lineRule="auto"/>
      </w:pPr>
      <w:r>
        <w:continuationSeparator/>
      </w:r>
    </w:p>
  </w:endnote>
  <w:endnote w:id="1">
    <w:p w14:paraId="2EB53FD2" w14:textId="2461E84D" w:rsidR="003747E8" w:rsidRDefault="003747E8">
      <w:pPr>
        <w:pStyle w:val="EndnoteText"/>
      </w:pPr>
      <w:r>
        <w:rPr>
          <w:rStyle w:val="EndnoteReference"/>
        </w:rPr>
        <w:endnoteRef/>
      </w:r>
      <w:r>
        <w:t xml:space="preserve"> </w:t>
      </w:r>
      <w:hyperlink r:id="rId1" w:history="1">
        <w:r w:rsidRPr="00303B40">
          <w:rPr>
            <w:rStyle w:val="Hyperlink"/>
          </w:rPr>
          <w:t>https://www.un.org/development/desa/disabilities/convention-on-the-rights-of-persons-with-disabilities.html</w:t>
        </w:r>
      </w:hyperlink>
    </w:p>
    <w:p w14:paraId="4D49A62B" w14:textId="77777777" w:rsidR="003747E8" w:rsidRPr="003747E8" w:rsidRDefault="003747E8">
      <w:pPr>
        <w:pStyle w:val="EndnoteText"/>
        <w:rPr>
          <w:lang w:val="en-GB"/>
        </w:rPr>
      </w:pPr>
    </w:p>
  </w:endnote>
  <w:endnote w:id="2">
    <w:p w14:paraId="75965E30" w14:textId="6BAA9D3E" w:rsidR="00824CEA" w:rsidRPr="00824CEA" w:rsidRDefault="00824CEA">
      <w:pPr>
        <w:pStyle w:val="EndnoteText"/>
        <w:rPr>
          <w:lang w:val="en-GB"/>
        </w:rPr>
      </w:pPr>
      <w:r>
        <w:rPr>
          <w:rStyle w:val="EndnoteReference"/>
        </w:rPr>
        <w:endnoteRef/>
      </w:r>
      <w:r>
        <w:t xml:space="preserve"> </w:t>
      </w:r>
      <w:hyperlink r:id="rId2" w:history="1">
        <w:r w:rsidRPr="000A4CBE">
          <w:rPr>
            <w:rStyle w:val="Hyperlink"/>
          </w:rPr>
          <w:t>https://www.odi.govt.nz/nz-disability-strategy/</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E8DF" w14:textId="77777777" w:rsidR="008F692E" w:rsidRDefault="008F692E" w:rsidP="00634AEC">
      <w:pPr>
        <w:spacing w:after="0" w:line="240" w:lineRule="auto"/>
      </w:pPr>
      <w:r>
        <w:separator/>
      </w:r>
    </w:p>
  </w:footnote>
  <w:footnote w:type="continuationSeparator" w:id="0">
    <w:p w14:paraId="50C7080E" w14:textId="77777777" w:rsidR="008F692E" w:rsidRDefault="008F692E"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5"/>
  </w:num>
  <w:num w:numId="5">
    <w:abstractNumId w:val="25"/>
  </w:num>
  <w:num w:numId="6">
    <w:abstractNumId w:val="7"/>
  </w:num>
  <w:num w:numId="7">
    <w:abstractNumId w:val="17"/>
  </w:num>
  <w:num w:numId="8">
    <w:abstractNumId w:val="18"/>
  </w:num>
  <w:num w:numId="9">
    <w:abstractNumId w:val="15"/>
  </w:num>
  <w:num w:numId="10">
    <w:abstractNumId w:val="23"/>
  </w:num>
  <w:num w:numId="11">
    <w:abstractNumId w:val="22"/>
  </w:num>
  <w:num w:numId="12">
    <w:abstractNumId w:val="0"/>
  </w:num>
  <w:num w:numId="13">
    <w:abstractNumId w:val="19"/>
  </w:num>
  <w:num w:numId="14">
    <w:abstractNumId w:val="12"/>
  </w:num>
  <w:num w:numId="15">
    <w:abstractNumId w:val="11"/>
  </w:num>
  <w:num w:numId="16">
    <w:abstractNumId w:val="6"/>
  </w:num>
  <w:num w:numId="17">
    <w:abstractNumId w:val="24"/>
  </w:num>
  <w:num w:numId="18">
    <w:abstractNumId w:val="1"/>
  </w:num>
  <w:num w:numId="19">
    <w:abstractNumId w:val="13"/>
  </w:num>
  <w:num w:numId="20">
    <w:abstractNumId w:val="20"/>
  </w:num>
  <w:num w:numId="21">
    <w:abstractNumId w:val="2"/>
  </w:num>
  <w:num w:numId="22">
    <w:abstractNumId w:val="9"/>
  </w:num>
  <w:num w:numId="23">
    <w:abstractNumId w:val="21"/>
  </w:num>
  <w:num w:numId="24">
    <w:abstractNumId w:val="3"/>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53FDF"/>
    <w:rsid w:val="000633A0"/>
    <w:rsid w:val="00073A38"/>
    <w:rsid w:val="000A33E1"/>
    <w:rsid w:val="000B1D28"/>
    <w:rsid w:val="000B415D"/>
    <w:rsid w:val="000C2A3A"/>
    <w:rsid w:val="000C419F"/>
    <w:rsid w:val="00104711"/>
    <w:rsid w:val="00107484"/>
    <w:rsid w:val="00121AC5"/>
    <w:rsid w:val="00133092"/>
    <w:rsid w:val="00160EF3"/>
    <w:rsid w:val="00166791"/>
    <w:rsid w:val="001A3927"/>
    <w:rsid w:val="001A4858"/>
    <w:rsid w:val="001A6021"/>
    <w:rsid w:val="001A63C9"/>
    <w:rsid w:val="001B734D"/>
    <w:rsid w:val="001C0434"/>
    <w:rsid w:val="001D29F1"/>
    <w:rsid w:val="002033A3"/>
    <w:rsid w:val="00213391"/>
    <w:rsid w:val="00234512"/>
    <w:rsid w:val="002370E7"/>
    <w:rsid w:val="002503CA"/>
    <w:rsid w:val="00252A79"/>
    <w:rsid w:val="00255576"/>
    <w:rsid w:val="00257134"/>
    <w:rsid w:val="00277B95"/>
    <w:rsid w:val="00294329"/>
    <w:rsid w:val="002C0869"/>
    <w:rsid w:val="002E0071"/>
    <w:rsid w:val="0033348C"/>
    <w:rsid w:val="00335BE4"/>
    <w:rsid w:val="00345ED6"/>
    <w:rsid w:val="003553DC"/>
    <w:rsid w:val="00366994"/>
    <w:rsid w:val="00374531"/>
    <w:rsid w:val="003747E8"/>
    <w:rsid w:val="00376117"/>
    <w:rsid w:val="00383840"/>
    <w:rsid w:val="0039004F"/>
    <w:rsid w:val="003B025C"/>
    <w:rsid w:val="003B0C58"/>
    <w:rsid w:val="003B154D"/>
    <w:rsid w:val="003B3DF5"/>
    <w:rsid w:val="003E3C38"/>
    <w:rsid w:val="00412627"/>
    <w:rsid w:val="00422A0D"/>
    <w:rsid w:val="004600A7"/>
    <w:rsid w:val="004A0B5F"/>
    <w:rsid w:val="004B1ACA"/>
    <w:rsid w:val="004C6FDB"/>
    <w:rsid w:val="004D53A5"/>
    <w:rsid w:val="004E4933"/>
    <w:rsid w:val="005174CE"/>
    <w:rsid w:val="005244AE"/>
    <w:rsid w:val="005255B7"/>
    <w:rsid w:val="00532EFE"/>
    <w:rsid w:val="00534749"/>
    <w:rsid w:val="00547874"/>
    <w:rsid w:val="00562E74"/>
    <w:rsid w:val="00573EA0"/>
    <w:rsid w:val="00587C7D"/>
    <w:rsid w:val="00590FA5"/>
    <w:rsid w:val="00593CF3"/>
    <w:rsid w:val="005A4256"/>
    <w:rsid w:val="005C2088"/>
    <w:rsid w:val="00612023"/>
    <w:rsid w:val="00617B71"/>
    <w:rsid w:val="00624726"/>
    <w:rsid w:val="00626DE9"/>
    <w:rsid w:val="00634AEC"/>
    <w:rsid w:val="0065604C"/>
    <w:rsid w:val="00670B18"/>
    <w:rsid w:val="00682716"/>
    <w:rsid w:val="006B5018"/>
    <w:rsid w:val="006C4F78"/>
    <w:rsid w:val="006D416F"/>
    <w:rsid w:val="006E413E"/>
    <w:rsid w:val="00700885"/>
    <w:rsid w:val="0070699A"/>
    <w:rsid w:val="00720AF9"/>
    <w:rsid w:val="007247B9"/>
    <w:rsid w:val="00742049"/>
    <w:rsid w:val="00766369"/>
    <w:rsid w:val="00771A3C"/>
    <w:rsid w:val="00775532"/>
    <w:rsid w:val="007928EF"/>
    <w:rsid w:val="007A5D60"/>
    <w:rsid w:val="007B4A88"/>
    <w:rsid w:val="007C284F"/>
    <w:rsid w:val="007C2FBC"/>
    <w:rsid w:val="007F0F7A"/>
    <w:rsid w:val="007F60BA"/>
    <w:rsid w:val="00805680"/>
    <w:rsid w:val="00824CEA"/>
    <w:rsid w:val="00832EF2"/>
    <w:rsid w:val="00834694"/>
    <w:rsid w:val="008443CB"/>
    <w:rsid w:val="00851ABD"/>
    <w:rsid w:val="008614A2"/>
    <w:rsid w:val="00861D42"/>
    <w:rsid w:val="008870F9"/>
    <w:rsid w:val="008C3BEF"/>
    <w:rsid w:val="008D3BDD"/>
    <w:rsid w:val="008D5AF5"/>
    <w:rsid w:val="008E27E2"/>
    <w:rsid w:val="008E541D"/>
    <w:rsid w:val="008E594C"/>
    <w:rsid w:val="008F692E"/>
    <w:rsid w:val="00902171"/>
    <w:rsid w:val="00911569"/>
    <w:rsid w:val="009140EA"/>
    <w:rsid w:val="00921D00"/>
    <w:rsid w:val="009301C7"/>
    <w:rsid w:val="009514A6"/>
    <w:rsid w:val="00953608"/>
    <w:rsid w:val="00974AB8"/>
    <w:rsid w:val="00980ACE"/>
    <w:rsid w:val="0098203B"/>
    <w:rsid w:val="009923BC"/>
    <w:rsid w:val="009A6FA7"/>
    <w:rsid w:val="009B6EE7"/>
    <w:rsid w:val="009C25EE"/>
    <w:rsid w:val="009D2D4A"/>
    <w:rsid w:val="009D3ED8"/>
    <w:rsid w:val="009F43CD"/>
    <w:rsid w:val="00A01791"/>
    <w:rsid w:val="00A07AC4"/>
    <w:rsid w:val="00A12510"/>
    <w:rsid w:val="00A2709C"/>
    <w:rsid w:val="00A272AB"/>
    <w:rsid w:val="00A378EA"/>
    <w:rsid w:val="00A56F67"/>
    <w:rsid w:val="00A56FEE"/>
    <w:rsid w:val="00A67D69"/>
    <w:rsid w:val="00A76CE2"/>
    <w:rsid w:val="00A77DD5"/>
    <w:rsid w:val="00AA7CBB"/>
    <w:rsid w:val="00AC772C"/>
    <w:rsid w:val="00AD6F7B"/>
    <w:rsid w:val="00B00392"/>
    <w:rsid w:val="00B21633"/>
    <w:rsid w:val="00B227DA"/>
    <w:rsid w:val="00B363C7"/>
    <w:rsid w:val="00B7383C"/>
    <w:rsid w:val="00B819EB"/>
    <w:rsid w:val="00B925CB"/>
    <w:rsid w:val="00B9746B"/>
    <w:rsid w:val="00BD2396"/>
    <w:rsid w:val="00BD43B3"/>
    <w:rsid w:val="00BF7175"/>
    <w:rsid w:val="00C0441C"/>
    <w:rsid w:val="00C0685D"/>
    <w:rsid w:val="00C23CCD"/>
    <w:rsid w:val="00C3131E"/>
    <w:rsid w:val="00C32B8A"/>
    <w:rsid w:val="00C42957"/>
    <w:rsid w:val="00C473F0"/>
    <w:rsid w:val="00C54C94"/>
    <w:rsid w:val="00C64FFB"/>
    <w:rsid w:val="00C71855"/>
    <w:rsid w:val="00C92A65"/>
    <w:rsid w:val="00C92B04"/>
    <w:rsid w:val="00CB0E72"/>
    <w:rsid w:val="00CD1230"/>
    <w:rsid w:val="00CD2828"/>
    <w:rsid w:val="00CD4578"/>
    <w:rsid w:val="00CF5354"/>
    <w:rsid w:val="00CF5F49"/>
    <w:rsid w:val="00CF6E4A"/>
    <w:rsid w:val="00CF72EE"/>
    <w:rsid w:val="00D001C0"/>
    <w:rsid w:val="00D0678F"/>
    <w:rsid w:val="00D11BCC"/>
    <w:rsid w:val="00D2076D"/>
    <w:rsid w:val="00D230E4"/>
    <w:rsid w:val="00D26396"/>
    <w:rsid w:val="00D451C5"/>
    <w:rsid w:val="00D45D28"/>
    <w:rsid w:val="00D6214D"/>
    <w:rsid w:val="00DD61E8"/>
    <w:rsid w:val="00E0554B"/>
    <w:rsid w:val="00E05B9D"/>
    <w:rsid w:val="00E13065"/>
    <w:rsid w:val="00E426CF"/>
    <w:rsid w:val="00E47BC9"/>
    <w:rsid w:val="00E53192"/>
    <w:rsid w:val="00E5783A"/>
    <w:rsid w:val="00E65567"/>
    <w:rsid w:val="00E70E28"/>
    <w:rsid w:val="00E74B15"/>
    <w:rsid w:val="00E9298B"/>
    <w:rsid w:val="00EA7AD5"/>
    <w:rsid w:val="00EB17E7"/>
    <w:rsid w:val="00EB6FAF"/>
    <w:rsid w:val="00EC6AD9"/>
    <w:rsid w:val="00EC73CC"/>
    <w:rsid w:val="00ED415F"/>
    <w:rsid w:val="00EE2B63"/>
    <w:rsid w:val="00EF2AA3"/>
    <w:rsid w:val="00EF44E1"/>
    <w:rsid w:val="00F03220"/>
    <w:rsid w:val="00F228DC"/>
    <w:rsid w:val="00F27399"/>
    <w:rsid w:val="00F57655"/>
    <w:rsid w:val="00F60BB9"/>
    <w:rsid w:val="00F90077"/>
    <w:rsid w:val="00F90886"/>
    <w:rsid w:val="00F93FDC"/>
    <w:rsid w:val="00FA1FCA"/>
    <w:rsid w:val="00FA3E8E"/>
    <w:rsid w:val="00FB068D"/>
    <w:rsid w:val="00FB1B9A"/>
    <w:rsid w:val="00FB24E4"/>
    <w:rsid w:val="00FD7A1A"/>
    <w:rsid w:val="00FE59B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odi.govt.nz/nz-disability-strategy/" TargetMode="External"/><Relationship Id="rId1" Type="http://schemas.openxmlformats.org/officeDocument/2006/relationships/hyperlink" Target="https://www.un.org/development/desa/disabilities/convention-on-the-rights-of-persons-with-disabilitie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2022-04-01T10:53:00Z</dcterms:created>
  <dcterms:modified xsi:type="dcterms:W3CDTF">2022-04-01T10:53:00Z</dcterms:modified>
</cp:coreProperties>
</file>