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261A0B78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C8F78" id="Group 3" o:spid="_x0000_s1026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  <w:r w:rsidR="008E2866">
        <w:tab/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1B212DB1" w:rsidR="00FA5DE7" w:rsidRPr="00FA5DE7" w:rsidRDefault="009465F4" w:rsidP="003A2E54">
      <w:pPr>
        <w:spacing w:line="360" w:lineRule="auto"/>
        <w:rPr>
          <w:szCs w:val="24"/>
        </w:rPr>
      </w:pPr>
      <w:r>
        <w:rPr>
          <w:szCs w:val="24"/>
        </w:rPr>
        <w:t xml:space="preserve">10 </w:t>
      </w:r>
      <w:r w:rsidR="00742F42">
        <w:rPr>
          <w:szCs w:val="24"/>
        </w:rPr>
        <w:t>February</w:t>
      </w:r>
      <w:r w:rsidR="00FA5DE7" w:rsidRPr="00FA5DE7">
        <w:rPr>
          <w:szCs w:val="24"/>
        </w:rPr>
        <w:t xml:space="preserve"> 202</w:t>
      </w:r>
      <w:r w:rsidR="00742F42">
        <w:rPr>
          <w:szCs w:val="24"/>
        </w:rPr>
        <w:t>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0D73CB08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9465F4">
        <w:rPr>
          <w:szCs w:val="24"/>
        </w:rPr>
        <w:t>the Education and Workforce</w:t>
      </w:r>
      <w:r w:rsidR="00742F42">
        <w:rPr>
          <w:szCs w:val="24"/>
        </w:rPr>
        <w:t xml:space="preserve"> Committee</w:t>
      </w:r>
    </w:p>
    <w:p w14:paraId="22E02F9D" w14:textId="61887888" w:rsidR="009465F4" w:rsidRPr="00FA5DE7" w:rsidRDefault="00FA5DE7" w:rsidP="009465F4">
      <w:pPr>
        <w:spacing w:line="360" w:lineRule="auto"/>
      </w:pPr>
      <w:r w:rsidRPr="00FA5DE7">
        <w:t xml:space="preserve">Please find </w:t>
      </w:r>
      <w:r w:rsidR="00742F42">
        <w:t>below</w:t>
      </w:r>
      <w:r w:rsidRPr="00FA5DE7">
        <w:t xml:space="preserve"> DPA’s submission on </w:t>
      </w:r>
      <w:r w:rsidR="009465F4">
        <w:t xml:space="preserve">the Accident Compensation (Access Reporting and Other Matters) Amendment Bill. </w:t>
      </w:r>
      <w:r w:rsidR="009465F4" w:rsidRPr="00FA5DE7">
        <w:t xml:space="preserve"> </w:t>
      </w:r>
    </w:p>
    <w:p w14:paraId="41E6D60F" w14:textId="0D8F4D97" w:rsidR="00FA5DE7" w:rsidRPr="00FA5DE7" w:rsidRDefault="00FA5DE7" w:rsidP="003A2E54">
      <w:pPr>
        <w:spacing w:line="360" w:lineRule="auto"/>
      </w:pP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003A2E54">
      <w:pPr>
        <w:spacing w:line="360" w:lineRule="auto"/>
      </w:pPr>
      <w:r w:rsidRPr="009539E4">
        <w:t>For any further inquiries, please contact:</w:t>
      </w:r>
    </w:p>
    <w:p w14:paraId="13BB8F8F" w14:textId="31F575DB" w:rsidR="00FA5DE7" w:rsidRDefault="00FA5DE7" w:rsidP="003A2E54">
      <w:pPr>
        <w:spacing w:after="0" w:line="360" w:lineRule="auto"/>
      </w:pPr>
      <w:r>
        <w:t>Prudence Walker</w:t>
      </w:r>
    </w:p>
    <w:p w14:paraId="7F5EB669" w14:textId="77777777" w:rsidR="00FA5DE7" w:rsidRDefault="00FA5DE7" w:rsidP="003A2E54">
      <w:pPr>
        <w:spacing w:after="0" w:line="360" w:lineRule="auto"/>
      </w:pPr>
      <w:r>
        <w:t xml:space="preserve">Chief Executive </w:t>
      </w:r>
    </w:p>
    <w:p w14:paraId="6F88CD9B" w14:textId="77777777" w:rsidR="00FA5DE7" w:rsidRDefault="00FA5DE7" w:rsidP="003A2E54">
      <w:pPr>
        <w:spacing w:after="0" w:line="360" w:lineRule="auto"/>
      </w:pPr>
      <w:r>
        <w:t>021 546 006</w:t>
      </w:r>
    </w:p>
    <w:p w14:paraId="3C20F521" w14:textId="11BCAFBC" w:rsidR="00FA5DE7" w:rsidRPr="001D0A95" w:rsidRDefault="00FA5DE7" w:rsidP="003A2E54">
      <w:pPr>
        <w:spacing w:after="0" w:line="360" w:lineRule="auto"/>
      </w:pPr>
      <w:r>
        <w:t>policy@dpa.org.nz</w:t>
      </w:r>
    </w:p>
    <w:p w14:paraId="37D9DCAE" w14:textId="6863897A" w:rsidR="00C0742F" w:rsidRPr="00B53F40" w:rsidRDefault="00C0742F" w:rsidP="00B53F40">
      <w:pPr>
        <w:pStyle w:val="Heading1"/>
      </w:pPr>
      <w:r w:rsidRPr="004D53A5">
        <w:lastRenderedPageBreak/>
        <w:t>Introducing Disabled Persons Assembly NZ</w:t>
      </w:r>
    </w:p>
    <w:p w14:paraId="3BF3C229" w14:textId="77777777" w:rsidR="00C0742F" w:rsidRPr="004E3921" w:rsidRDefault="00C0742F" w:rsidP="00C0742F">
      <w:pPr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C0742F"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C0742F">
      <w:pPr>
        <w:spacing w:after="0"/>
        <w:rPr>
          <w:b/>
          <w:bCs/>
        </w:rPr>
      </w:pPr>
      <w:r w:rsidRPr="004E3921">
        <w:rPr>
          <w:b/>
          <w:bCs/>
          <w:lang w:val="en-US"/>
        </w:rPr>
        <w:t xml:space="preserve">We </w:t>
      </w:r>
      <w:proofErr w:type="spellStart"/>
      <w:r w:rsidRPr="004E3921">
        <w:rPr>
          <w:b/>
          <w:bCs/>
          <w:lang w:val="en-US"/>
        </w:rPr>
        <w:t>recognise</w:t>
      </w:r>
      <w:proofErr w:type="spellEnd"/>
      <w:r w:rsidRPr="004E3921">
        <w:rPr>
          <w:b/>
          <w:bCs/>
          <w:lang w:val="en-US"/>
        </w:rPr>
        <w:t>:</w:t>
      </w:r>
    </w:p>
    <w:p w14:paraId="1E84B5F7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5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6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impairment; </w:t>
      </w:r>
    </w:p>
    <w:p w14:paraId="414859E0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0C6B5ABB" w:rsidR="00C0742F" w:rsidRPr="004E3921" w:rsidRDefault="00C0742F" w:rsidP="00C0742F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0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</w:t>
        </w:r>
        <w:proofErr w:type="spellStart"/>
        <w:r w:rsidRPr="004E3921">
          <w:rPr>
            <w:rStyle w:val="Hyperlink"/>
          </w:rPr>
          <w:t>Ao</w:t>
        </w:r>
        <w:proofErr w:type="spellEnd"/>
        <w:r w:rsidRPr="004E3921">
          <w:rPr>
            <w:rStyle w:val="Hyperlink"/>
          </w:rPr>
          <w:t xml:space="preserve">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1" w:history="1">
        <w:r w:rsidRPr="004E3921">
          <w:rPr>
            <w:rStyle w:val="Hyperlink"/>
          </w:rPr>
          <w:t>Faiva Ora: National Pasifika Disability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C0742F">
      <w:pPr>
        <w:spacing w:after="0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C0742F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nationally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C0742F">
      <w:pPr>
        <w:pStyle w:val="ListParagraph"/>
        <w:numPr>
          <w:ilvl w:val="0"/>
          <w:numId w:val="2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C0742F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3869A252" w14:textId="77777777" w:rsidR="00C0742F" w:rsidRPr="004E3921" w:rsidRDefault="00C0742F" w:rsidP="00C0742F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policies and practices about and relevant to disabled people.</w:t>
      </w:r>
    </w:p>
    <w:p w14:paraId="5E08C4C3" w14:textId="55E5267A" w:rsidR="00276E2E" w:rsidRDefault="00276E2E" w:rsidP="00276E2E">
      <w:pPr>
        <w:pStyle w:val="Heading2"/>
        <w:rPr>
          <w:sz w:val="28"/>
        </w:rPr>
      </w:pPr>
      <w:r>
        <w:lastRenderedPageBreak/>
        <w:t xml:space="preserve">United Nations Convention on the </w:t>
      </w:r>
      <w:r w:rsidRPr="00276E2E">
        <w:t>Rights</w:t>
      </w:r>
      <w:r>
        <w:t xml:space="preserve"> of Persons with Disabilities</w:t>
      </w:r>
    </w:p>
    <w:p w14:paraId="11715FDC" w14:textId="17A92D80" w:rsidR="00276E2E" w:rsidRDefault="00276E2E" w:rsidP="00276E2E">
      <w:bookmarkStart w:id="0" w:name="_Ref33797632"/>
      <w:bookmarkStart w:id="1" w:name="_Toc35524849"/>
      <w:r>
        <w:t>DPA was influential in creating the United Nations Convention on the Rights of Persons with Disabilities (UNCRPD),</w:t>
      </w:r>
      <w:r>
        <w:rPr>
          <w:rStyle w:val="FootnoteReference"/>
        </w:rPr>
        <w:footnoteReference w:id="2"/>
      </w:r>
      <w:r>
        <w:t xml:space="preserve"> a foundational document for disabled people which New Zealand has signed and ratified, confirming that disabled people must have the same human rights as everyone else. </w:t>
      </w:r>
      <w:r w:rsidR="006F0C2E">
        <w:t xml:space="preserve"> </w:t>
      </w:r>
      <w:r>
        <w:t xml:space="preserve">All state bodies in New Zealand, including local and regional government, have a responsibility to uphold the principles and articles of this convention. </w:t>
      </w:r>
      <w:r w:rsidR="006F0C2E">
        <w:t xml:space="preserve"> </w:t>
      </w:r>
      <w:r>
        <w:t xml:space="preserve">There are a number of UNCRPD articles </w:t>
      </w:r>
      <w:r w:rsidR="00B87C03">
        <w:t>particularly relevant</w:t>
      </w:r>
      <w:r>
        <w:t xml:space="preserve"> to this submission, including:</w:t>
      </w:r>
    </w:p>
    <w:p w14:paraId="66C16368" w14:textId="307D9A12" w:rsidR="00AA6458" w:rsidRPr="00D0003F" w:rsidRDefault="00AA6458" w:rsidP="00FD36C9">
      <w:pPr>
        <w:pStyle w:val="ListParagraph"/>
        <w:numPr>
          <w:ilvl w:val="0"/>
          <w:numId w:val="28"/>
        </w:numPr>
        <w:spacing w:line="360" w:lineRule="auto"/>
        <w:rPr>
          <w:b/>
          <w:bCs/>
        </w:rPr>
      </w:pPr>
      <w:bookmarkStart w:id="2" w:name="_Toc41908928"/>
      <w:bookmarkStart w:id="3" w:name="_Toc41930991"/>
      <w:bookmarkEnd w:id="0"/>
      <w:bookmarkEnd w:id="1"/>
      <w:r w:rsidRPr="00D0003F">
        <w:rPr>
          <w:b/>
          <w:bCs/>
        </w:rPr>
        <w:t xml:space="preserve">Article </w:t>
      </w:r>
      <w:r w:rsidR="006F0C2E">
        <w:rPr>
          <w:b/>
          <w:bCs/>
        </w:rPr>
        <w:t>4.3</w:t>
      </w:r>
      <w:r w:rsidR="00956AE6">
        <w:rPr>
          <w:b/>
          <w:bCs/>
        </w:rPr>
        <w:t xml:space="preserve">: Engaging with disabled people and our representative </w:t>
      </w:r>
      <w:proofErr w:type="gramStart"/>
      <w:r w:rsidR="00956AE6">
        <w:rPr>
          <w:b/>
          <w:bCs/>
        </w:rPr>
        <w:t>groups</w:t>
      </w:r>
      <w:proofErr w:type="gramEnd"/>
    </w:p>
    <w:p w14:paraId="4195D300" w14:textId="370C7CAE" w:rsidR="00603927" w:rsidRPr="00956AE6" w:rsidRDefault="00046CF3" w:rsidP="00603927">
      <w:pPr>
        <w:pStyle w:val="ListParagraph"/>
        <w:numPr>
          <w:ilvl w:val="0"/>
          <w:numId w:val="28"/>
        </w:numPr>
      </w:pPr>
      <w:r>
        <w:rPr>
          <w:b/>
          <w:bCs/>
        </w:rPr>
        <w:t>Article 1</w:t>
      </w:r>
      <w:r w:rsidR="00956AE6">
        <w:rPr>
          <w:b/>
          <w:bCs/>
        </w:rPr>
        <w:t xml:space="preserve">9: Living independently and being involved in the </w:t>
      </w:r>
      <w:proofErr w:type="gramStart"/>
      <w:r w:rsidR="00956AE6">
        <w:rPr>
          <w:b/>
          <w:bCs/>
        </w:rPr>
        <w:t>community</w:t>
      </w:r>
      <w:proofErr w:type="gramEnd"/>
    </w:p>
    <w:p w14:paraId="7517EFAE" w14:textId="46866DEE" w:rsidR="00956AE6" w:rsidRPr="00956AE6" w:rsidRDefault="00956AE6" w:rsidP="00603927">
      <w:pPr>
        <w:pStyle w:val="ListParagraph"/>
        <w:numPr>
          <w:ilvl w:val="0"/>
          <w:numId w:val="28"/>
        </w:numPr>
      </w:pPr>
      <w:r>
        <w:rPr>
          <w:b/>
          <w:bCs/>
        </w:rPr>
        <w:t>Article 25: Health</w:t>
      </w:r>
    </w:p>
    <w:p w14:paraId="743A4558" w14:textId="27532CA0" w:rsidR="00956AE6" w:rsidRPr="00FD36C9" w:rsidRDefault="00956AE6" w:rsidP="00FD36C9">
      <w:pPr>
        <w:pStyle w:val="ListParagraph"/>
        <w:numPr>
          <w:ilvl w:val="0"/>
          <w:numId w:val="28"/>
        </w:numPr>
      </w:pPr>
      <w:r>
        <w:rPr>
          <w:b/>
          <w:bCs/>
        </w:rPr>
        <w:t xml:space="preserve">Article 26: </w:t>
      </w:r>
      <w:proofErr w:type="spellStart"/>
      <w:r>
        <w:rPr>
          <w:b/>
          <w:bCs/>
        </w:rPr>
        <w:t>Habilitation</w:t>
      </w:r>
      <w:proofErr w:type="spellEnd"/>
      <w:r>
        <w:rPr>
          <w:b/>
          <w:bCs/>
        </w:rPr>
        <w:t xml:space="preserve"> and rehabilitation</w:t>
      </w:r>
    </w:p>
    <w:p w14:paraId="3CE3D0A4" w14:textId="77777777" w:rsidR="00FD36C9" w:rsidRDefault="00FD36C9" w:rsidP="00FD36C9">
      <w:pPr>
        <w:pStyle w:val="ListParagraph"/>
      </w:pPr>
    </w:p>
    <w:p w14:paraId="6A2ED120" w14:textId="07236730" w:rsidR="00276E2E" w:rsidRDefault="00276E2E" w:rsidP="00276E2E">
      <w:pPr>
        <w:pStyle w:val="Heading2"/>
        <w:ind w:left="578" w:hanging="578"/>
      </w:pPr>
      <w:r>
        <w:t>New Zealand Disability Strategy 2016-2026</w:t>
      </w:r>
      <w:bookmarkEnd w:id="2"/>
      <w:bookmarkEnd w:id="3"/>
    </w:p>
    <w:p w14:paraId="2119B0BD" w14:textId="646DF459" w:rsidR="00276E2E" w:rsidRDefault="00276E2E" w:rsidP="00276E2E">
      <w:r>
        <w:t>Since ratifying the UNCRPD, the New Zealand Government has established a Disability Strategy</w:t>
      </w:r>
      <w:r>
        <w:rPr>
          <w:rStyle w:val="FootnoteReference"/>
        </w:rPr>
        <w:footnoteReference w:id="3"/>
      </w:r>
      <w:r>
        <w:t xml:space="preserve"> to guide the work of government agencies on disability issues. The vision is that New Zealand be a non-disabling society, where disabled people have equal opportunity to achieve their goals and aspirations, and that </w:t>
      </w:r>
      <w:proofErr w:type="gramStart"/>
      <w:r>
        <w:t>all of</w:t>
      </w:r>
      <w:proofErr w:type="gramEnd"/>
      <w:r>
        <w:t xml:space="preserve"> New Zealand works together to make this happen. </w:t>
      </w:r>
      <w:r w:rsidR="004414A7">
        <w:t xml:space="preserve"> </w:t>
      </w:r>
      <w:r>
        <w:t xml:space="preserve">It identifies eight outcome areas </w:t>
      </w:r>
      <w:r>
        <w:lastRenderedPageBreak/>
        <w:t>contributing to achieving this vision</w:t>
      </w:r>
      <w:r w:rsidR="00B87C03">
        <w:t>.</w:t>
      </w:r>
      <w:r w:rsidR="004414A7">
        <w:t xml:space="preserve"> </w:t>
      </w:r>
      <w:r w:rsidR="00B87C03">
        <w:t xml:space="preserve"> There are </w:t>
      </w:r>
      <w:r w:rsidR="6CA7DA7F">
        <w:t>several</w:t>
      </w:r>
      <w:r w:rsidR="00B87C03">
        <w:t xml:space="preserve"> Strategy outcomes particularly relevant to this submission, including</w:t>
      </w:r>
      <w:r>
        <w:t>:</w:t>
      </w:r>
    </w:p>
    <w:p w14:paraId="54F28322" w14:textId="0FFF433C" w:rsidR="00276E2E" w:rsidRPr="00D0003F" w:rsidRDefault="00D0003F" w:rsidP="0084266C">
      <w:pPr>
        <w:pStyle w:val="ListParagraph"/>
        <w:numPr>
          <w:ilvl w:val="0"/>
          <w:numId w:val="28"/>
        </w:numPr>
        <w:ind w:left="714" w:hanging="357"/>
        <w:rPr>
          <w:b/>
          <w:bCs/>
        </w:rPr>
      </w:pPr>
      <w:r w:rsidRPr="00D0003F">
        <w:rPr>
          <w:b/>
          <w:bCs/>
        </w:rPr>
        <w:t xml:space="preserve">Outcome </w:t>
      </w:r>
      <w:r w:rsidR="00FD36C9">
        <w:rPr>
          <w:b/>
          <w:bCs/>
        </w:rPr>
        <w:t>3</w:t>
      </w:r>
      <w:r w:rsidR="004414A7">
        <w:rPr>
          <w:b/>
          <w:bCs/>
        </w:rPr>
        <w:t xml:space="preserve"> – </w:t>
      </w:r>
      <w:r w:rsidR="00FD36C9">
        <w:rPr>
          <w:b/>
          <w:bCs/>
        </w:rPr>
        <w:t>Health and wellbeing</w:t>
      </w:r>
    </w:p>
    <w:p w14:paraId="773FC796" w14:textId="77777777" w:rsidR="00D0003F" w:rsidRDefault="00D0003F" w:rsidP="004414A7">
      <w:pPr>
        <w:pStyle w:val="ListParagraph"/>
      </w:pPr>
    </w:p>
    <w:p w14:paraId="5ED8313E" w14:textId="7074659B" w:rsidR="00BB7E50" w:rsidRDefault="006C30CF" w:rsidP="00276E2E">
      <w:pPr>
        <w:pStyle w:val="Heading1"/>
      </w:pPr>
      <w:r>
        <w:t xml:space="preserve">The </w:t>
      </w:r>
      <w:r w:rsidRPr="00276E2E">
        <w:t>Submission</w:t>
      </w:r>
    </w:p>
    <w:p w14:paraId="6FB9A3D1" w14:textId="3E7A82EB" w:rsidR="00D45B4E" w:rsidRDefault="6B0C0A1E" w:rsidP="00693502">
      <w:pPr>
        <w:spacing w:line="360" w:lineRule="auto"/>
      </w:pPr>
      <w:r w:rsidRPr="53082CB1">
        <w:t>DPA notes that t</w:t>
      </w:r>
      <w:r w:rsidR="00693502" w:rsidRPr="53082CB1">
        <w:t>his Bill has three key objectives:</w:t>
      </w:r>
    </w:p>
    <w:p w14:paraId="31DB45F0" w14:textId="0BAD71D3" w:rsidR="00693502" w:rsidRDefault="00693502" w:rsidP="00693502">
      <w:pPr>
        <w:pStyle w:val="ListParagraph"/>
        <w:numPr>
          <w:ilvl w:val="0"/>
          <w:numId w:val="32"/>
        </w:numPr>
        <w:spacing w:line="360" w:lineRule="auto"/>
        <w:rPr>
          <w:i/>
          <w:iCs/>
        </w:rPr>
      </w:pPr>
      <w:r>
        <w:rPr>
          <w:i/>
          <w:iCs/>
        </w:rPr>
        <w:t>to improve the focus on, and the understanding of, how people with personal injuries are accessing the Accident Compensation Scheme (AC Scheme)</w:t>
      </w:r>
      <w:r w:rsidR="006C01E1">
        <w:rPr>
          <w:i/>
          <w:iCs/>
        </w:rPr>
        <w:t>:</w:t>
      </w:r>
    </w:p>
    <w:p w14:paraId="17F46CEB" w14:textId="6D68E935" w:rsidR="006C01E1" w:rsidRDefault="006C01E1" w:rsidP="00693502">
      <w:pPr>
        <w:pStyle w:val="ListParagraph"/>
        <w:numPr>
          <w:ilvl w:val="0"/>
          <w:numId w:val="32"/>
        </w:numPr>
        <w:spacing w:line="360" w:lineRule="auto"/>
        <w:rPr>
          <w:i/>
          <w:iCs/>
        </w:rPr>
      </w:pPr>
      <w:r>
        <w:rPr>
          <w:i/>
          <w:iCs/>
        </w:rPr>
        <w:t>to increase the transparency of the levels of access to the AC Scheme, including any disparities in access to the AC Scheme by different population groups:</w:t>
      </w:r>
    </w:p>
    <w:p w14:paraId="1949C212" w14:textId="30E8A200" w:rsidR="006C01E1" w:rsidRPr="00944241" w:rsidRDefault="006C01E1" w:rsidP="00944241">
      <w:pPr>
        <w:pStyle w:val="ListParagraph"/>
        <w:numPr>
          <w:ilvl w:val="0"/>
          <w:numId w:val="32"/>
        </w:numPr>
        <w:spacing w:line="360" w:lineRule="auto"/>
        <w:rPr>
          <w:i/>
          <w:iCs/>
        </w:rPr>
      </w:pPr>
      <w:r>
        <w:rPr>
          <w:i/>
          <w:iCs/>
        </w:rPr>
        <w:t>to give better effect to the purpose of weekly compensation</w:t>
      </w:r>
      <w:r>
        <w:rPr>
          <w:rStyle w:val="FootnoteReference"/>
        </w:rPr>
        <w:footnoteReference w:id="4"/>
      </w:r>
    </w:p>
    <w:p w14:paraId="0A12E67B" w14:textId="21C14EB0" w:rsidR="006E575C" w:rsidRDefault="002F5181" w:rsidP="002F2F4C">
      <w:r>
        <w:t>DPA broadly supports the objectives to monitor and report access to the Accident Compensation Scheme (ACC</w:t>
      </w:r>
      <w:r w:rsidR="02EF3A46">
        <w:t>)</w:t>
      </w:r>
      <w:r>
        <w:t xml:space="preserve"> but </w:t>
      </w:r>
      <w:r w:rsidR="7430F319">
        <w:t>asks that</w:t>
      </w:r>
      <w:r>
        <w:t xml:space="preserve"> </w:t>
      </w:r>
      <w:r w:rsidR="00DA626E">
        <w:t xml:space="preserve">additional </w:t>
      </w:r>
      <w:r>
        <w:t xml:space="preserve">specific population </w:t>
      </w:r>
      <w:proofErr w:type="gramStart"/>
      <w:r>
        <w:t>groups</w:t>
      </w:r>
      <w:r w:rsidR="00DA626E">
        <w:t xml:space="preserve"> </w:t>
      </w:r>
      <w:r>
        <w:t xml:space="preserve"> </w:t>
      </w:r>
      <w:r w:rsidR="1FA2FACD">
        <w:t>be</w:t>
      </w:r>
      <w:proofErr w:type="gramEnd"/>
      <w:r>
        <w:t xml:space="preserve"> included in the monitoring and reporting.</w:t>
      </w:r>
    </w:p>
    <w:p w14:paraId="6A642214" w14:textId="22A97858" w:rsidR="002F5181" w:rsidRDefault="002F5181" w:rsidP="002F2F4C">
      <w:r>
        <w:t>We support the bringing forward of eligibility for the minimum rate of weekly compensation from the sixth to the second week of incapacity.</w:t>
      </w:r>
    </w:p>
    <w:p w14:paraId="3BE98C06" w14:textId="256E8F98" w:rsidR="00AC70A3" w:rsidRDefault="00771E01" w:rsidP="006E2338">
      <w:pPr>
        <w:pStyle w:val="Heading1"/>
      </w:pPr>
      <w:r>
        <w:t>ACC Law Bias</w:t>
      </w:r>
      <w:r w:rsidR="00944241">
        <w:t>ed</w:t>
      </w:r>
      <w:r w:rsidR="00AC70A3">
        <w:t xml:space="preserve"> Against </w:t>
      </w:r>
      <w:r w:rsidR="00DA626E">
        <w:t>D</w:t>
      </w:r>
      <w:r w:rsidR="00AC70A3">
        <w:t xml:space="preserve">isabled People </w:t>
      </w:r>
    </w:p>
    <w:p w14:paraId="6CB5B0DF" w14:textId="77777777" w:rsidR="009F0F2C" w:rsidRDefault="009F0F2C" w:rsidP="009F0F2C"/>
    <w:p w14:paraId="535D1CB4" w14:textId="44D937AC" w:rsidR="00DA626E" w:rsidRDefault="009F0F2C" w:rsidP="009F0F2C">
      <w:r>
        <w:lastRenderedPageBreak/>
        <w:t>In June 2021 Radio New Zealand National (RNZ)</w:t>
      </w:r>
      <w:r w:rsidR="00DA626E" w:rsidRPr="00DA626E">
        <w:rPr>
          <w:rStyle w:val="FootnoteReference"/>
        </w:rPr>
        <w:t xml:space="preserve"> </w:t>
      </w:r>
      <w:r>
        <w:t>reported</w:t>
      </w:r>
      <w:r w:rsidR="00DA626E">
        <w:rPr>
          <w:rStyle w:val="FootnoteReference"/>
        </w:rPr>
        <w:footnoteReference w:id="5"/>
      </w:r>
      <w:r>
        <w:t xml:space="preserve"> on </w:t>
      </w:r>
      <w:r w:rsidR="001A6F63">
        <w:t>ACC’s own analysis showing that ACC law was bias</w:t>
      </w:r>
      <w:r w:rsidR="00DA626E">
        <w:t>ed</w:t>
      </w:r>
      <w:r w:rsidR="001A6F63">
        <w:t xml:space="preserve"> against </w:t>
      </w:r>
      <w:r w:rsidR="00FB06B2">
        <w:t>disabled people who had an impairment before being injured</w:t>
      </w:r>
      <w:r w:rsidR="00A80FC6">
        <w:t xml:space="preserve">. </w:t>
      </w:r>
    </w:p>
    <w:p w14:paraId="2954A238" w14:textId="1F31C4F1" w:rsidR="009F0F2C" w:rsidRDefault="000369E7" w:rsidP="009F0F2C">
      <w:r>
        <w:t xml:space="preserve">Issues in ACC’s analysis included: </w:t>
      </w:r>
    </w:p>
    <w:p w14:paraId="4E79EB03" w14:textId="79F3147B" w:rsidR="000369E7" w:rsidRDefault="00B80C90" w:rsidP="00DA626E">
      <w:pPr>
        <w:ind w:firstLine="720"/>
      </w:pPr>
      <w:r>
        <w:t xml:space="preserve">• rehabilitation provided by ACC is available on an entitlement </w:t>
      </w:r>
      <w:r w:rsidR="00DD6C43">
        <w:t>basis</w:t>
      </w:r>
      <w:r w:rsidR="002648F5">
        <w:t>, unlike Ministry of Health-funded disability support servi</w:t>
      </w:r>
      <w:r w:rsidR="00844B73">
        <w:t>c</w:t>
      </w:r>
      <w:r w:rsidR="002648F5">
        <w:t>es</w:t>
      </w:r>
      <w:r w:rsidR="00E15E0F">
        <w:t xml:space="preserve"> which are rationed (these services are now funded by </w:t>
      </w:r>
      <w:proofErr w:type="spellStart"/>
      <w:r w:rsidR="00AB2FCD">
        <w:t>Whai</w:t>
      </w:r>
      <w:r w:rsidR="00E15E0F">
        <w:t>kaha</w:t>
      </w:r>
      <w:proofErr w:type="spellEnd"/>
      <w:r w:rsidR="00E15E0F">
        <w:t>)</w:t>
      </w:r>
      <w:r w:rsidR="00B12078">
        <w:t xml:space="preserve">. </w:t>
      </w:r>
    </w:p>
    <w:p w14:paraId="02B678C9" w14:textId="68B4EB6E" w:rsidR="00B12078" w:rsidRDefault="00B12078" w:rsidP="00DA626E">
      <w:pPr>
        <w:ind w:firstLine="720"/>
      </w:pPr>
      <w:r>
        <w:t xml:space="preserve">• ACC benefits are often non-means </w:t>
      </w:r>
      <w:r w:rsidR="0054329D">
        <w:t xml:space="preserve">tested and are more generous than welfare benefits provided by the Ministry of social Development (MSD). </w:t>
      </w:r>
    </w:p>
    <w:p w14:paraId="72247F38" w14:textId="77E78326" w:rsidR="001B19E6" w:rsidRPr="009F0F2C" w:rsidRDefault="0054329D" w:rsidP="00DA626E">
      <w:pPr>
        <w:ind w:firstLine="720"/>
      </w:pPr>
      <w:r>
        <w:t xml:space="preserve">• </w:t>
      </w:r>
      <w:r w:rsidR="009D28B6">
        <w:t xml:space="preserve">ACC does not currently </w:t>
      </w:r>
      <w:r w:rsidR="002F5E3C">
        <w:t xml:space="preserve">routinely record the disability status of clients </w:t>
      </w:r>
      <w:r w:rsidR="005A3FE2">
        <w:t>and</w:t>
      </w:r>
      <w:r w:rsidR="00FB0DD1">
        <w:t>,</w:t>
      </w:r>
      <w:r w:rsidR="005A3FE2">
        <w:t xml:space="preserve"> ‘disability’ as a concept</w:t>
      </w:r>
      <w:r w:rsidR="00FB0DD1">
        <w:t>,</w:t>
      </w:r>
      <w:r w:rsidR="005A3FE2">
        <w:t xml:space="preserve"> does not </w:t>
      </w:r>
      <w:r w:rsidR="00E6232E">
        <w:t xml:space="preserve">feature </w:t>
      </w:r>
      <w:r w:rsidR="00437ACB">
        <w:t xml:space="preserve">in accident compensation law. As a result ACC’s visibility of </w:t>
      </w:r>
      <w:proofErr w:type="gramStart"/>
      <w:r w:rsidR="00437ACB">
        <w:t>the</w:t>
      </w:r>
      <w:r w:rsidR="00E6232E">
        <w:t xml:space="preserve"> </w:t>
      </w:r>
      <w:r w:rsidR="00437ACB">
        <w:t xml:space="preserve"> </w:t>
      </w:r>
      <w:r w:rsidR="00EE6B2D">
        <w:t>accessibility</w:t>
      </w:r>
      <w:proofErr w:type="gramEnd"/>
      <w:r w:rsidR="00EE6B2D">
        <w:t xml:space="preserve">, needs and outcomes </w:t>
      </w:r>
      <w:r w:rsidR="001B19E6">
        <w:t xml:space="preserve">from the ACC Scheme are limited. </w:t>
      </w:r>
    </w:p>
    <w:p w14:paraId="32A85BBF" w14:textId="77777777" w:rsidR="00AC70A3" w:rsidRDefault="00AC70A3" w:rsidP="007F77F7"/>
    <w:p w14:paraId="6088E3B8" w14:textId="7FD489B9" w:rsidR="006C30CF" w:rsidRDefault="00354F10" w:rsidP="006E2338">
      <w:pPr>
        <w:pStyle w:val="Heading1"/>
      </w:pPr>
      <w:r>
        <w:t xml:space="preserve">DPA’s </w:t>
      </w:r>
      <w:r w:rsidR="00D739DC">
        <w:t>R</w:t>
      </w:r>
      <w:r w:rsidR="00FE22BF">
        <w:t>ecommendations</w:t>
      </w:r>
    </w:p>
    <w:p w14:paraId="7579DCBC" w14:textId="1B1AF495" w:rsidR="00D739DC" w:rsidRDefault="00D739DC" w:rsidP="00D739DC">
      <w:r>
        <w:t>DPA strongly recommends that the Select Committee:</w:t>
      </w:r>
    </w:p>
    <w:p w14:paraId="7C62E26A" w14:textId="6E259522" w:rsidR="00D739DC" w:rsidRDefault="00D739DC" w:rsidP="00D739DC">
      <w:pPr>
        <w:pStyle w:val="ListParagraph"/>
        <w:numPr>
          <w:ilvl w:val="0"/>
          <w:numId w:val="30"/>
        </w:numPr>
      </w:pPr>
      <w:r>
        <w:t>Amend Clause</w:t>
      </w:r>
      <w:r w:rsidR="15D17B4D">
        <w:t>s</w:t>
      </w:r>
      <w:r>
        <w:t xml:space="preserve"> 4</w:t>
      </w:r>
      <w:r w:rsidR="2A0D238D">
        <w:t>, 5 and 6</w:t>
      </w:r>
      <w:r>
        <w:t xml:space="preserve"> of the Bill, to include</w:t>
      </w:r>
      <w:r w:rsidR="6106290E">
        <w:t xml:space="preserve"> </w:t>
      </w:r>
      <w:r w:rsidR="5ADCF6E2">
        <w:t>-</w:t>
      </w:r>
      <w:r w:rsidR="7B7D7DCD">
        <w:t xml:space="preserve"> </w:t>
      </w:r>
      <w:r>
        <w:t>in addition to Māori</w:t>
      </w:r>
      <w:r w:rsidR="2DA10B62">
        <w:t>-</w:t>
      </w:r>
      <w:r>
        <w:t xml:space="preserve"> disabled people, Pacific </w:t>
      </w:r>
      <w:proofErr w:type="gramStart"/>
      <w:r>
        <w:t>peoples</w:t>
      </w:r>
      <w:proofErr w:type="gramEnd"/>
      <w:r>
        <w:t xml:space="preserve"> and women to be also explicitly stated in the new purpose of the Act to monitor access </w:t>
      </w:r>
      <w:r w:rsidR="514A31D9">
        <w:t>for these groups</w:t>
      </w:r>
      <w:r>
        <w:t xml:space="preserve"> to the Accident Compensation Scheme.  </w:t>
      </w:r>
    </w:p>
    <w:p w14:paraId="3E8524B3" w14:textId="0AE446F1" w:rsidR="00D739DC" w:rsidRPr="006F04A0" w:rsidRDefault="00D739DC" w:rsidP="00D739DC">
      <w:pPr>
        <w:pStyle w:val="ListParagraph"/>
        <w:numPr>
          <w:ilvl w:val="0"/>
          <w:numId w:val="30"/>
        </w:numPr>
        <w:rPr>
          <w:color w:val="000000" w:themeColor="text1"/>
        </w:rPr>
      </w:pPr>
      <w:r>
        <w:lastRenderedPageBreak/>
        <w:t xml:space="preserve">Amend </w:t>
      </w:r>
      <w:r w:rsidRPr="006F04A0">
        <w:rPr>
          <w:rStyle w:val="label"/>
          <w:color w:val="000000"/>
          <w:bdr w:val="none" w:sz="0" w:space="0" w:color="auto" w:frame="1"/>
        </w:rPr>
        <w:t>Part </w:t>
      </w:r>
      <w:r>
        <w:rPr>
          <w:rStyle w:val="label"/>
          <w:color w:val="000000"/>
          <w:bdr w:val="none" w:sz="0" w:space="0" w:color="auto" w:frame="1"/>
        </w:rPr>
        <w:t xml:space="preserve">4 </w:t>
      </w:r>
      <w:r w:rsidRPr="006F04A0">
        <w:rPr>
          <w:color w:val="000000"/>
        </w:rPr>
        <w:t>Provisions relating to Accident Compensation (Access Reporting and Other Matters) Amendment Act</w:t>
      </w:r>
      <w:r w:rsidR="0034108B">
        <w:rPr>
          <w:color w:val="000000"/>
        </w:rPr>
        <w:t xml:space="preserve"> 2022</w:t>
      </w:r>
      <w:r w:rsidR="00A76A7F">
        <w:rPr>
          <w:color w:val="000000"/>
        </w:rPr>
        <w:t>:</w:t>
      </w:r>
      <w:r w:rsidR="0034108B">
        <w:rPr>
          <w:color w:val="000000"/>
        </w:rPr>
        <w:t xml:space="preserve"> 13 and 14 to specifically include</w:t>
      </w:r>
      <w:r w:rsidR="020A7B55">
        <w:rPr>
          <w:color w:val="000000"/>
        </w:rPr>
        <w:t xml:space="preserve"> </w:t>
      </w:r>
      <w:r w:rsidR="2E328015">
        <w:rPr>
          <w:color w:val="000000"/>
        </w:rPr>
        <w:t>-</w:t>
      </w:r>
      <w:r w:rsidR="0034108B">
        <w:rPr>
          <w:color w:val="000000"/>
        </w:rPr>
        <w:t xml:space="preserve"> in addition to Māori</w:t>
      </w:r>
      <w:r w:rsidR="66092244">
        <w:rPr>
          <w:color w:val="000000"/>
        </w:rPr>
        <w:t xml:space="preserve"> -</w:t>
      </w:r>
      <w:r w:rsidR="0034108B">
        <w:rPr>
          <w:color w:val="000000"/>
        </w:rPr>
        <w:t xml:space="preserve"> disabled people, Pacific </w:t>
      </w:r>
      <w:proofErr w:type="gramStart"/>
      <w:r w:rsidR="0034108B">
        <w:rPr>
          <w:color w:val="000000"/>
        </w:rPr>
        <w:t>peoples</w:t>
      </w:r>
      <w:proofErr w:type="gramEnd"/>
      <w:r w:rsidR="0034108B">
        <w:rPr>
          <w:color w:val="000000"/>
        </w:rPr>
        <w:t xml:space="preserve"> and women. </w:t>
      </w:r>
    </w:p>
    <w:p w14:paraId="70CD5027" w14:textId="5CC45062" w:rsidR="00D739DC" w:rsidRPr="006C5B0C" w:rsidRDefault="00D739DC" w:rsidP="00D739DC"/>
    <w:p w14:paraId="3D6664AF" w14:textId="48516419" w:rsidR="00AB0797" w:rsidRPr="006C5B0C" w:rsidRDefault="00AB0797" w:rsidP="00AB0797"/>
    <w:sectPr w:rsidR="00AB0797" w:rsidRPr="006C5B0C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A461" w14:textId="77777777" w:rsidR="00A45529" w:rsidRDefault="00A45529" w:rsidP="005602D3">
      <w:pPr>
        <w:spacing w:after="0" w:line="240" w:lineRule="auto"/>
      </w:pPr>
      <w:r>
        <w:separator/>
      </w:r>
    </w:p>
  </w:endnote>
  <w:endnote w:type="continuationSeparator" w:id="0">
    <w:p w14:paraId="3843AE40" w14:textId="77777777" w:rsidR="00A45529" w:rsidRDefault="00A45529" w:rsidP="005602D3">
      <w:pPr>
        <w:spacing w:after="0" w:line="240" w:lineRule="auto"/>
      </w:pPr>
      <w:r>
        <w:continuationSeparator/>
      </w:r>
    </w:p>
  </w:endnote>
  <w:endnote w:type="continuationNotice" w:id="1">
    <w:p w14:paraId="3C241FB6" w14:textId="77777777" w:rsidR="00A45529" w:rsidRDefault="00A455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3775" w14:textId="77777777" w:rsidR="00A45529" w:rsidRDefault="00A45529" w:rsidP="005602D3">
      <w:pPr>
        <w:spacing w:after="0" w:line="240" w:lineRule="auto"/>
      </w:pPr>
    </w:p>
  </w:footnote>
  <w:footnote w:type="continuationSeparator" w:id="0">
    <w:p w14:paraId="3FE8BE48" w14:textId="77777777" w:rsidR="00A45529" w:rsidRDefault="00A45529" w:rsidP="005602D3">
      <w:pPr>
        <w:spacing w:after="0" w:line="240" w:lineRule="auto"/>
      </w:pPr>
      <w:r>
        <w:continuationSeparator/>
      </w:r>
    </w:p>
  </w:footnote>
  <w:footnote w:type="continuationNotice" w:id="1">
    <w:p w14:paraId="39D043DE" w14:textId="77777777" w:rsidR="00A45529" w:rsidRPr="003D21B1" w:rsidRDefault="00A45529" w:rsidP="003D21B1">
      <w:pPr>
        <w:pStyle w:val="Footer"/>
      </w:pPr>
    </w:p>
  </w:footnote>
  <w:footnote w:id="2">
    <w:p w14:paraId="769DA1EA" w14:textId="77777777" w:rsidR="00276E2E" w:rsidRPr="00710222" w:rsidRDefault="00276E2E" w:rsidP="00276E2E">
      <w:pPr>
        <w:pStyle w:val="FootnoteText"/>
        <w:rPr>
          <w:rFonts w:cs="Arial"/>
        </w:rPr>
      </w:pPr>
      <w:r w:rsidRPr="00710222">
        <w:rPr>
          <w:rStyle w:val="FootnoteReference"/>
          <w:rFonts w:cs="Arial"/>
        </w:rPr>
        <w:footnoteRef/>
      </w:r>
      <w:r w:rsidRPr="00710222">
        <w:rPr>
          <w:rFonts w:cs="Arial"/>
        </w:rPr>
        <w:t xml:space="preserve"> United Nations. (2006). </w:t>
      </w:r>
      <w:r w:rsidRPr="00710222">
        <w:rPr>
          <w:rFonts w:cs="Arial"/>
          <w:i/>
          <w:iCs/>
        </w:rPr>
        <w:t xml:space="preserve">United Nations Convention on the Rights of People with Disabilities. </w:t>
      </w:r>
      <w:r w:rsidRPr="00710222">
        <w:rPr>
          <w:rFonts w:cs="Arial"/>
        </w:rPr>
        <w:t xml:space="preserve">Retrieved from: </w:t>
      </w:r>
      <w:hyperlink r:id="rId1" w:history="1">
        <w:r w:rsidRPr="00710222">
          <w:rPr>
            <w:rStyle w:val="Hyperlink"/>
            <w:rFonts w:cs="Arial"/>
          </w:rPr>
          <w:t>https://www.un.org/disabilities/documents/convention/convoptprot-e.pdf</w:t>
        </w:r>
      </w:hyperlink>
    </w:p>
  </w:footnote>
  <w:footnote w:id="3">
    <w:p w14:paraId="185983CC" w14:textId="18F5825A" w:rsidR="00276E2E" w:rsidRPr="00710222" w:rsidRDefault="00276E2E" w:rsidP="00276E2E">
      <w:pPr>
        <w:pStyle w:val="FootnoteText"/>
        <w:rPr>
          <w:rFonts w:cs="Arial"/>
        </w:rPr>
      </w:pPr>
      <w:r w:rsidRPr="00710222">
        <w:rPr>
          <w:rStyle w:val="FootnoteReference"/>
          <w:rFonts w:cs="Arial"/>
        </w:rPr>
        <w:footnoteRef/>
      </w:r>
      <w:r w:rsidRPr="00710222">
        <w:rPr>
          <w:rFonts w:cs="Arial"/>
        </w:rPr>
        <w:t xml:space="preserve"> Office for Disability Issues. (2016). </w:t>
      </w:r>
      <w:r w:rsidRPr="00710222">
        <w:rPr>
          <w:rFonts w:cs="Arial"/>
          <w:i/>
          <w:iCs/>
        </w:rPr>
        <w:t>New Zealand Disability Strategy.</w:t>
      </w:r>
      <w:r w:rsidRPr="00710222">
        <w:rPr>
          <w:rFonts w:cs="Arial"/>
        </w:rPr>
        <w:t xml:space="preserve"> Retrieved from: </w:t>
      </w:r>
      <w:hyperlink r:id="rId2" w:history="1">
        <w:r w:rsidR="000F3787" w:rsidRPr="006E2795">
          <w:rPr>
            <w:rStyle w:val="Hyperlink"/>
            <w:rFonts w:cs="Arial"/>
          </w:rPr>
          <w:t>https://www.odi.govt.nz/nz-disability-strategy/</w:t>
        </w:r>
      </w:hyperlink>
      <w:r w:rsidR="000F3787">
        <w:rPr>
          <w:rFonts w:cs="Arial"/>
        </w:rPr>
        <w:t xml:space="preserve"> </w:t>
      </w:r>
    </w:p>
  </w:footnote>
  <w:footnote w:id="4">
    <w:p w14:paraId="1A786748" w14:textId="23DBCCBB" w:rsidR="006C01E1" w:rsidRPr="006C01E1" w:rsidRDefault="006C01E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3" w:anchor="LMS784601" w:history="1">
        <w:r w:rsidR="001A0195" w:rsidRPr="0070250D">
          <w:rPr>
            <w:rStyle w:val="Hyperlink"/>
          </w:rPr>
          <w:t>https://www.legislation.govt.nz/bill/govinds ernment/2022/0189/latest/whole.html#LMS784601</w:t>
        </w:r>
      </w:hyperlink>
      <w:r w:rsidR="000F3787">
        <w:t xml:space="preserve"> </w:t>
      </w:r>
    </w:p>
  </w:footnote>
  <w:footnote w:id="5">
    <w:p w14:paraId="5C39A54A" w14:textId="77777777" w:rsidR="00DA626E" w:rsidRPr="001A7AC0" w:rsidRDefault="00DA626E" w:rsidP="00DA62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70250D">
          <w:rPr>
            <w:rStyle w:val="Hyperlink"/>
          </w:rPr>
          <w:t>https://www.rnz.co.nz/news/national/445287/acc-law-biased-against-those-disabled-before-injury-agency-s-analysis-reveals</w:t>
        </w:r>
      </w:hyperlink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80F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C43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404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C08D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684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826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C5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9EA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236EF"/>
    <w:multiLevelType w:val="hybridMultilevel"/>
    <w:tmpl w:val="787C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00DB2"/>
    <w:multiLevelType w:val="hybridMultilevel"/>
    <w:tmpl w:val="0B1A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2"/>
  </w:num>
  <w:num w:numId="4" w16cid:durableId="25301161">
    <w:abstractNumId w:val="15"/>
  </w:num>
  <w:num w:numId="5" w16cid:durableId="1751850489">
    <w:abstractNumId w:val="17"/>
  </w:num>
  <w:num w:numId="6" w16cid:durableId="705910267">
    <w:abstractNumId w:val="27"/>
  </w:num>
  <w:num w:numId="7" w16cid:durableId="268657952">
    <w:abstractNumId w:val="26"/>
  </w:num>
  <w:num w:numId="8" w16cid:durableId="1116290010">
    <w:abstractNumId w:val="29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1"/>
  </w:num>
  <w:num w:numId="18" w16cid:durableId="125314328">
    <w:abstractNumId w:val="19"/>
  </w:num>
  <w:num w:numId="19" w16cid:durableId="196626558">
    <w:abstractNumId w:val="25"/>
  </w:num>
  <w:num w:numId="20" w16cid:durableId="992493483">
    <w:abstractNumId w:val="23"/>
  </w:num>
  <w:num w:numId="21" w16cid:durableId="884218452">
    <w:abstractNumId w:val="18"/>
  </w:num>
  <w:num w:numId="22" w16cid:durableId="998342359">
    <w:abstractNumId w:val="28"/>
  </w:num>
  <w:num w:numId="23" w16cid:durableId="521473645">
    <w:abstractNumId w:val="13"/>
  </w:num>
  <w:num w:numId="24" w16cid:durableId="1425418937">
    <w:abstractNumId w:val="24"/>
  </w:num>
  <w:num w:numId="25" w16cid:durableId="617758634">
    <w:abstractNumId w:val="20"/>
  </w:num>
  <w:num w:numId="26" w16cid:durableId="1378119871">
    <w:abstractNumId w:val="16"/>
  </w:num>
  <w:num w:numId="27" w16cid:durableId="1914273176">
    <w:abstractNumId w:val="11"/>
  </w:num>
  <w:num w:numId="28" w16cid:durableId="571743726">
    <w:abstractNumId w:val="30"/>
  </w:num>
  <w:num w:numId="29" w16cid:durableId="434249693">
    <w:abstractNumId w:val="10"/>
  </w:num>
  <w:num w:numId="30" w16cid:durableId="66273621">
    <w:abstractNumId w:val="14"/>
  </w:num>
  <w:num w:numId="31" w16cid:durableId="948706773">
    <w:abstractNumId w:val="12"/>
  </w:num>
  <w:num w:numId="32" w16cid:durableId="34290147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5CDA"/>
    <w:rsid w:val="000369E7"/>
    <w:rsid w:val="00043C03"/>
    <w:rsid w:val="00043EEA"/>
    <w:rsid w:val="0004616F"/>
    <w:rsid w:val="00046CF3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45D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4863"/>
    <w:rsid w:val="000E5108"/>
    <w:rsid w:val="000E6FE4"/>
    <w:rsid w:val="000E75B9"/>
    <w:rsid w:val="000F0FD8"/>
    <w:rsid w:val="000F2C00"/>
    <w:rsid w:val="000F2DEA"/>
    <w:rsid w:val="000F3787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0195"/>
    <w:rsid w:val="001A19D8"/>
    <w:rsid w:val="001A5E4D"/>
    <w:rsid w:val="001A6141"/>
    <w:rsid w:val="001A6F63"/>
    <w:rsid w:val="001A73E2"/>
    <w:rsid w:val="001A7AC0"/>
    <w:rsid w:val="001B1491"/>
    <w:rsid w:val="001B184E"/>
    <w:rsid w:val="001B19E6"/>
    <w:rsid w:val="001B492D"/>
    <w:rsid w:val="001B4DFE"/>
    <w:rsid w:val="001B7802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2829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48F5"/>
    <w:rsid w:val="00265B96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73A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2F4C"/>
    <w:rsid w:val="002F3E87"/>
    <w:rsid w:val="002F3E8E"/>
    <w:rsid w:val="002F3FC5"/>
    <w:rsid w:val="002F5181"/>
    <w:rsid w:val="002F5E3C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08B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4F10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84"/>
    <w:rsid w:val="0043469A"/>
    <w:rsid w:val="00437ACB"/>
    <w:rsid w:val="00440A24"/>
    <w:rsid w:val="004414A7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6D4B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29D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3615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3FE2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339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872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502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1E1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5D2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75C"/>
    <w:rsid w:val="006E5CF3"/>
    <w:rsid w:val="006E64A6"/>
    <w:rsid w:val="006E6EB0"/>
    <w:rsid w:val="006E7B71"/>
    <w:rsid w:val="006F07E0"/>
    <w:rsid w:val="006F0C2E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2F42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1E01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B6CF5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7F77F7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266C"/>
    <w:rsid w:val="008436BF"/>
    <w:rsid w:val="00843B97"/>
    <w:rsid w:val="00843D1E"/>
    <w:rsid w:val="00844224"/>
    <w:rsid w:val="00844B73"/>
    <w:rsid w:val="00845097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465F"/>
    <w:rsid w:val="008856AE"/>
    <w:rsid w:val="008859BB"/>
    <w:rsid w:val="00886506"/>
    <w:rsid w:val="008865AC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5873"/>
    <w:rsid w:val="008D6F88"/>
    <w:rsid w:val="008D7FD4"/>
    <w:rsid w:val="008E076D"/>
    <w:rsid w:val="008E2517"/>
    <w:rsid w:val="008E2866"/>
    <w:rsid w:val="008E2F47"/>
    <w:rsid w:val="008E63B6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4241"/>
    <w:rsid w:val="009464E6"/>
    <w:rsid w:val="009465F4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6AE6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28B6"/>
    <w:rsid w:val="009D5388"/>
    <w:rsid w:val="009D7981"/>
    <w:rsid w:val="009E1BCD"/>
    <w:rsid w:val="009E264E"/>
    <w:rsid w:val="009E37E8"/>
    <w:rsid w:val="009E7FE9"/>
    <w:rsid w:val="009F0395"/>
    <w:rsid w:val="009F0F2C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6EF1"/>
    <w:rsid w:val="00A3755A"/>
    <w:rsid w:val="00A37807"/>
    <w:rsid w:val="00A4170F"/>
    <w:rsid w:val="00A45371"/>
    <w:rsid w:val="00A45529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5404"/>
    <w:rsid w:val="00A76A7F"/>
    <w:rsid w:val="00A76B1C"/>
    <w:rsid w:val="00A77451"/>
    <w:rsid w:val="00A77479"/>
    <w:rsid w:val="00A7777A"/>
    <w:rsid w:val="00A80810"/>
    <w:rsid w:val="00A80FC6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598D"/>
    <w:rsid w:val="00AA6458"/>
    <w:rsid w:val="00AB0302"/>
    <w:rsid w:val="00AB0797"/>
    <w:rsid w:val="00AB0B6F"/>
    <w:rsid w:val="00AB0C87"/>
    <w:rsid w:val="00AB1EB6"/>
    <w:rsid w:val="00AB2FCD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C70A3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2078"/>
    <w:rsid w:val="00B12D5E"/>
    <w:rsid w:val="00B13E83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3F40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C90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259F1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00A0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3FFB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39DC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26E"/>
    <w:rsid w:val="00DA6740"/>
    <w:rsid w:val="00DA6ACB"/>
    <w:rsid w:val="00DB0161"/>
    <w:rsid w:val="00DB07CC"/>
    <w:rsid w:val="00DB1C9F"/>
    <w:rsid w:val="00DB3486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6C43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5E0F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232E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662B"/>
    <w:rsid w:val="00EB72AD"/>
    <w:rsid w:val="00EC13C7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6B2D"/>
    <w:rsid w:val="00EE781F"/>
    <w:rsid w:val="00EE7F1C"/>
    <w:rsid w:val="00EF046B"/>
    <w:rsid w:val="00EF110B"/>
    <w:rsid w:val="00EF171C"/>
    <w:rsid w:val="00EF3820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06B2"/>
    <w:rsid w:val="00FB0DD1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2F68"/>
    <w:rsid w:val="00FC3C20"/>
    <w:rsid w:val="00FC4E66"/>
    <w:rsid w:val="00FD05F6"/>
    <w:rsid w:val="00FD2710"/>
    <w:rsid w:val="00FD3655"/>
    <w:rsid w:val="00FD36C9"/>
    <w:rsid w:val="00FD5115"/>
    <w:rsid w:val="00FD5362"/>
    <w:rsid w:val="00FD5CAE"/>
    <w:rsid w:val="00FD6176"/>
    <w:rsid w:val="00FD6C19"/>
    <w:rsid w:val="00FE0FC8"/>
    <w:rsid w:val="00FE22BF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0A7B55"/>
    <w:rsid w:val="0251F4DC"/>
    <w:rsid w:val="025DE97D"/>
    <w:rsid w:val="02EF3A46"/>
    <w:rsid w:val="0A146319"/>
    <w:rsid w:val="0A6FCEE9"/>
    <w:rsid w:val="0C5D005F"/>
    <w:rsid w:val="0FEF170B"/>
    <w:rsid w:val="1297138E"/>
    <w:rsid w:val="1357158B"/>
    <w:rsid w:val="1527B478"/>
    <w:rsid w:val="15D17B4D"/>
    <w:rsid w:val="1CC79082"/>
    <w:rsid w:val="1CD6DFF8"/>
    <w:rsid w:val="1FA2FACD"/>
    <w:rsid w:val="2A0D238D"/>
    <w:rsid w:val="2DA10B62"/>
    <w:rsid w:val="2E328015"/>
    <w:rsid w:val="35A8198D"/>
    <w:rsid w:val="38BCFB06"/>
    <w:rsid w:val="3DFED805"/>
    <w:rsid w:val="417185E9"/>
    <w:rsid w:val="438CB901"/>
    <w:rsid w:val="43C4D4E6"/>
    <w:rsid w:val="45F0C18D"/>
    <w:rsid w:val="461EE252"/>
    <w:rsid w:val="4C7A2CC1"/>
    <w:rsid w:val="514A31D9"/>
    <w:rsid w:val="52475C71"/>
    <w:rsid w:val="53082CB1"/>
    <w:rsid w:val="5708E0EC"/>
    <w:rsid w:val="594D09B5"/>
    <w:rsid w:val="5A0EC278"/>
    <w:rsid w:val="5ADCF6E2"/>
    <w:rsid w:val="6106290E"/>
    <w:rsid w:val="66092244"/>
    <w:rsid w:val="6B0C0A1E"/>
    <w:rsid w:val="6CA7DA7F"/>
    <w:rsid w:val="706795DA"/>
    <w:rsid w:val="737CCECD"/>
    <w:rsid w:val="73B5BA18"/>
    <w:rsid w:val="7430F319"/>
    <w:rsid w:val="76503144"/>
    <w:rsid w:val="76983963"/>
    <w:rsid w:val="7890A822"/>
    <w:rsid w:val="7ABDDB9C"/>
    <w:rsid w:val="7B7D7DCD"/>
    <w:rsid w:val="7D6BCE2E"/>
    <w:rsid w:val="7E229BB2"/>
    <w:rsid w:val="7E61BC30"/>
    <w:rsid w:val="7F7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36344303-4535-4321-8EB0-95AC6F8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paragraph" w:styleId="PlainText">
    <w:name w:val="Plain Text"/>
    <w:basedOn w:val="Normal"/>
    <w:link w:val="PlainTextChar"/>
    <w:uiPriority w:val="99"/>
    <w:semiHidden/>
    <w:unhideWhenUsed/>
    <w:rsid w:val="007B6CF5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6CF5"/>
    <w:rPr>
      <w:rFonts w:ascii="Calibri" w:hAnsi="Calibri" w:cs="Calibri"/>
    </w:rPr>
  </w:style>
  <w:style w:type="character" w:customStyle="1" w:styleId="markedcontent">
    <w:name w:val="markedcontent"/>
    <w:basedOn w:val="DefaultParagraphFont"/>
    <w:rsid w:val="007B6CF5"/>
  </w:style>
  <w:style w:type="paragraph" w:customStyle="1" w:styleId="a">
    <w:name w:val="a"/>
    <w:basedOn w:val="Normal"/>
    <w:rsid w:val="007B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label">
    <w:name w:val="label"/>
    <w:basedOn w:val="DefaultParagraphFont"/>
    <w:rsid w:val="00D739DC"/>
  </w:style>
  <w:style w:type="character" w:customStyle="1" w:styleId="changeable">
    <w:name w:val="changeable"/>
    <w:basedOn w:val="DefaultParagraphFont"/>
    <w:rsid w:val="00D7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odi.govt.nz/nz-disability-strateg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un.org/development/desa/disabilities/convention-on-the-rights-of-persons-with-disabiliti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di.govt.nz/guidance-and-resources/guidance-for-policy-makes/" TargetMode="External"/><Relationship Id="rId20" Type="http://schemas.openxmlformats.org/officeDocument/2006/relationships/hyperlink" Target="https://www.health.govt.nz/publication/whaia-te-ao-marama-2018-2022-maori-disability-action-pla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https://www.archives.govt.nz/discover-our-stories/the-treaty-of-waitang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nablinggoodlives.co.nz/about-egl/egl-approach/principl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slation.govt.nz/bill/govinds%20ernment/2022/0189/latest/whole.html" TargetMode="External"/><Relationship Id="rId2" Type="http://schemas.openxmlformats.org/officeDocument/2006/relationships/hyperlink" Target="https://www.odi.govt.nz/nz-disability-strategy/" TargetMode="External"/><Relationship Id="rId1" Type="http://schemas.openxmlformats.org/officeDocument/2006/relationships/hyperlink" Target="https://www.un.org/disabilities/documents/convention/convoptprot-e.pdf" TargetMode="External"/><Relationship Id="rId4" Type="http://schemas.openxmlformats.org/officeDocument/2006/relationships/hyperlink" Target="https://www.rnz.co.nz/news/national/445287/acc-law-biased-against-those-disabled-before-injury-agency-s-analysis-rev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4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899</Words>
  <Characters>5129</Characters>
  <Application>Microsoft Office Word</Application>
  <DocSecurity>0</DocSecurity>
  <Lines>42</Lines>
  <Paragraphs>12</Paragraphs>
  <ScaleCrop>false</ScaleCrop>
  <Company>healthAlliance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Emily Tilley</cp:lastModifiedBy>
  <cp:revision>2</cp:revision>
  <cp:lastPrinted>2020-04-01T16:17:00Z</cp:lastPrinted>
  <dcterms:created xsi:type="dcterms:W3CDTF">2023-02-18T06:17:00Z</dcterms:created>
  <dcterms:modified xsi:type="dcterms:W3CDTF">2023-02-18T06:17:00Z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