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0A2F9D7C" w:rsidR="00587C7D" w:rsidRPr="005244AE" w:rsidRDefault="002D686B" w:rsidP="00E9298B">
      <w:r>
        <w:t>March 2022</w:t>
      </w:r>
    </w:p>
    <w:p w14:paraId="713BEF40" w14:textId="77777777" w:rsidR="00587C7D" w:rsidRPr="005244AE" w:rsidRDefault="00587C7D" w:rsidP="00E9298B"/>
    <w:p w14:paraId="23566296" w14:textId="77777777" w:rsidR="00587C7D" w:rsidRPr="005244AE" w:rsidRDefault="00587C7D" w:rsidP="00E9298B"/>
    <w:p w14:paraId="56F6172C" w14:textId="542E0569" w:rsidR="00587C7D" w:rsidRDefault="00587C7D" w:rsidP="00E9298B">
      <w:r w:rsidRPr="000A33E1">
        <w:t>Please find attached</w:t>
      </w:r>
      <w:r w:rsidR="000A33E1" w:rsidRPr="000A33E1">
        <w:t xml:space="preserve"> DPA’s</w:t>
      </w:r>
      <w:r w:rsidRPr="000A33E1">
        <w:t xml:space="preserve"> submission</w:t>
      </w:r>
      <w:r w:rsidR="008443CB">
        <w:t xml:space="preserve"> </w:t>
      </w:r>
      <w:r w:rsidR="008E541D">
        <w:t>on</w:t>
      </w:r>
      <w:r w:rsidR="002D686B">
        <w:t xml:space="preserve"> </w:t>
      </w:r>
      <w:r w:rsidR="008E541D">
        <w:t xml:space="preserve"> </w:t>
      </w:r>
      <w:r w:rsidR="00406C48">
        <w:t xml:space="preserve">the draft Social Cohesion Framework. </w:t>
      </w:r>
    </w:p>
    <w:p w14:paraId="39E3DE5B" w14:textId="77777777" w:rsidR="008443CB" w:rsidRDefault="008443CB" w:rsidP="000A33E1">
      <w:pPr>
        <w:rPr>
          <w:rFonts w:cs="Arial"/>
        </w:rPr>
      </w:pP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F941C4"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lastRenderedPageBreak/>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455359FC"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8376F1">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7FF0E7BC" w:rsidR="00634AEC" w:rsidRPr="006F2712" w:rsidRDefault="28D026A7" w:rsidP="004D53A5">
      <w:pPr>
        <w:pStyle w:val="Heading1"/>
      </w:pPr>
      <w:r>
        <w:t xml:space="preserve">The submission </w:t>
      </w:r>
    </w:p>
    <w:p w14:paraId="39DDF99F" w14:textId="741F8EFF" w:rsidR="003D3373" w:rsidRDefault="003D3373" w:rsidP="00030EB2">
      <w:pPr>
        <w:rPr>
          <w:b/>
          <w:bCs/>
          <w:u w:val="single"/>
        </w:rPr>
      </w:pPr>
      <w:r w:rsidRPr="003D3373">
        <w:rPr>
          <w:b/>
          <w:bCs/>
          <w:u w:val="single"/>
        </w:rPr>
        <w:t xml:space="preserve">Disabled People </w:t>
      </w:r>
      <w:r>
        <w:rPr>
          <w:b/>
          <w:bCs/>
          <w:u w:val="single"/>
        </w:rPr>
        <w:t xml:space="preserve">and </w:t>
      </w:r>
      <w:r w:rsidRPr="003D3373">
        <w:rPr>
          <w:b/>
          <w:bCs/>
          <w:u w:val="single"/>
        </w:rPr>
        <w:t>Social Cohesion</w:t>
      </w:r>
    </w:p>
    <w:p w14:paraId="7766ACF4" w14:textId="50BF9EB1" w:rsidR="00E25AC0" w:rsidRDefault="00A80956" w:rsidP="00030EB2">
      <w:r>
        <w:t>DPA considers the following to be</w:t>
      </w:r>
      <w:r w:rsidR="00E25AC0">
        <w:t xml:space="preserve"> </w:t>
      </w:r>
      <w:r w:rsidR="005C0346">
        <w:t>fundamental</w:t>
      </w:r>
      <w:r w:rsidR="00E25AC0">
        <w:t xml:space="preserve"> elements for any social cohesion framework to be </w:t>
      </w:r>
      <w:r w:rsidR="005C0346">
        <w:t>meaningful for disabled people</w:t>
      </w:r>
      <w:r w:rsidR="00E25AC0">
        <w:t xml:space="preserve">. </w:t>
      </w:r>
    </w:p>
    <w:p w14:paraId="04553272" w14:textId="77777777" w:rsidR="00E25AC0" w:rsidRDefault="00E25AC0" w:rsidP="00E25AC0">
      <w:pPr>
        <w:pStyle w:val="ListParagraph"/>
        <w:numPr>
          <w:ilvl w:val="0"/>
          <w:numId w:val="16"/>
        </w:numPr>
      </w:pPr>
      <w:r>
        <w:t>E</w:t>
      </w:r>
      <w:r w:rsidR="28D026A7">
        <w:t xml:space="preserve">conomic equity, </w:t>
      </w:r>
    </w:p>
    <w:p w14:paraId="3EC5C770" w14:textId="77777777" w:rsidR="00E25AC0" w:rsidRDefault="00E25AC0" w:rsidP="00E25AC0">
      <w:pPr>
        <w:pStyle w:val="ListParagraph"/>
        <w:numPr>
          <w:ilvl w:val="0"/>
          <w:numId w:val="16"/>
        </w:numPr>
      </w:pPr>
      <w:r>
        <w:t>W</w:t>
      </w:r>
      <w:r w:rsidR="28D026A7">
        <w:t xml:space="preserve">ellbeing, </w:t>
      </w:r>
    </w:p>
    <w:p w14:paraId="7C96AD1B" w14:textId="77777777" w:rsidR="005C0346" w:rsidRDefault="00E25AC0" w:rsidP="00E25AC0">
      <w:pPr>
        <w:pStyle w:val="ListParagraph"/>
        <w:numPr>
          <w:ilvl w:val="0"/>
          <w:numId w:val="16"/>
        </w:numPr>
      </w:pPr>
      <w:r>
        <w:t>T</w:t>
      </w:r>
      <w:r w:rsidR="28D026A7">
        <w:t xml:space="preserve">rust, </w:t>
      </w:r>
    </w:p>
    <w:p w14:paraId="798A6FCB" w14:textId="77777777" w:rsidR="005C0346" w:rsidRDefault="005C0346" w:rsidP="00E25AC0">
      <w:pPr>
        <w:pStyle w:val="ListParagraph"/>
        <w:numPr>
          <w:ilvl w:val="0"/>
          <w:numId w:val="16"/>
        </w:numPr>
      </w:pPr>
      <w:r>
        <w:t>S</w:t>
      </w:r>
      <w:r w:rsidR="28D026A7">
        <w:t xml:space="preserve">afety, </w:t>
      </w:r>
    </w:p>
    <w:p w14:paraId="02343CC0" w14:textId="6CAB6FDD" w:rsidR="002D52BE" w:rsidRDefault="002D52BE" w:rsidP="00E25AC0">
      <w:pPr>
        <w:pStyle w:val="ListParagraph"/>
        <w:numPr>
          <w:ilvl w:val="0"/>
          <w:numId w:val="16"/>
        </w:numPr>
      </w:pPr>
      <w:r>
        <w:t>Non-</w:t>
      </w:r>
      <w:r w:rsidR="00892591">
        <w:t>d</w:t>
      </w:r>
      <w:r>
        <w:t>iscrimination,</w:t>
      </w:r>
    </w:p>
    <w:p w14:paraId="61158844" w14:textId="77777777" w:rsidR="002D52BE" w:rsidRDefault="005C0346" w:rsidP="00E25AC0">
      <w:pPr>
        <w:pStyle w:val="ListParagraph"/>
        <w:numPr>
          <w:ilvl w:val="0"/>
          <w:numId w:val="16"/>
        </w:numPr>
      </w:pPr>
      <w:r>
        <w:t>S</w:t>
      </w:r>
      <w:r w:rsidR="28D026A7">
        <w:t xml:space="preserve">ocial connection, and </w:t>
      </w:r>
    </w:p>
    <w:p w14:paraId="5A5B13C3" w14:textId="77777777" w:rsidR="00C53843" w:rsidRDefault="002D52BE" w:rsidP="00E25AC0">
      <w:pPr>
        <w:pStyle w:val="ListParagraph"/>
        <w:numPr>
          <w:ilvl w:val="0"/>
          <w:numId w:val="16"/>
        </w:numPr>
      </w:pPr>
      <w:r>
        <w:t>S</w:t>
      </w:r>
      <w:r w:rsidR="28D026A7">
        <w:t xml:space="preserve">ense of belonging </w:t>
      </w:r>
      <w:r>
        <w:t>.</w:t>
      </w:r>
    </w:p>
    <w:p w14:paraId="79858F7C" w14:textId="7D791B81" w:rsidR="007F6234" w:rsidRDefault="28D026A7" w:rsidP="007F6234">
      <w:r>
        <w:t xml:space="preserve">Without </w:t>
      </w:r>
      <w:r w:rsidR="0060302E">
        <w:t xml:space="preserve">all of </w:t>
      </w:r>
      <w:r>
        <w:t>these in place</w:t>
      </w:r>
      <w:r w:rsidR="007F251E">
        <w:t>,</w:t>
      </w:r>
      <w:r>
        <w:t xml:space="preserve"> </w:t>
      </w:r>
      <w:r w:rsidR="007F251E">
        <w:t xml:space="preserve">genuine, </w:t>
      </w:r>
      <w:r w:rsidR="007F6234">
        <w:t>enduring</w:t>
      </w:r>
      <w:r w:rsidR="007F251E">
        <w:t xml:space="preserve"> </w:t>
      </w:r>
      <w:r>
        <w:t>social cohesion</w:t>
      </w:r>
      <w:r w:rsidR="00C53843">
        <w:t xml:space="preserve"> will be </w:t>
      </w:r>
      <w:r w:rsidR="007F251E">
        <w:t xml:space="preserve">very difficult if not impossible to be </w:t>
      </w:r>
      <w:r w:rsidR="00C53843">
        <w:t>achieved</w:t>
      </w:r>
      <w:r>
        <w:t xml:space="preserve">. </w:t>
      </w:r>
      <w:r w:rsidR="007F6234">
        <w:t>While there are components of the proposed social cohesion framework, such as “t</w:t>
      </w:r>
      <w:r w:rsidR="007F6234" w:rsidRPr="28D026A7">
        <w:rPr>
          <w:i/>
          <w:iCs/>
        </w:rPr>
        <w:t>ackling all forms of discrimination at all levels” that</w:t>
      </w:r>
      <w:r w:rsidR="007F6234">
        <w:t xml:space="preserve"> align with our understanding of social cohesion, </w:t>
      </w:r>
      <w:r w:rsidR="005012FE">
        <w:t>we</w:t>
      </w:r>
      <w:r w:rsidR="007F6234">
        <w:t xml:space="preserve"> consider that there are a number </w:t>
      </w:r>
      <w:r w:rsidR="007F6234">
        <w:lastRenderedPageBreak/>
        <w:t xml:space="preserve">of significant and necessary elements that are either missing or not given sufficient emphasis and/or prominence in the framework.  </w:t>
      </w:r>
    </w:p>
    <w:p w14:paraId="7E41D64D" w14:textId="034D4065" w:rsidR="00030EB2" w:rsidRPr="002D0BCE" w:rsidRDefault="00C53843" w:rsidP="00C53843">
      <w:r>
        <w:t xml:space="preserve">In this submission </w:t>
      </w:r>
      <w:r w:rsidR="00656A44">
        <w:t>we will focus on the first four</w:t>
      </w:r>
      <w:r w:rsidR="00846A7B">
        <w:t xml:space="preserve"> elements above: equity, wellbeing, </w:t>
      </w:r>
      <w:proofErr w:type="gramStart"/>
      <w:r w:rsidR="00846A7B">
        <w:t>trust</w:t>
      </w:r>
      <w:proofErr w:type="gramEnd"/>
      <w:r w:rsidR="00846A7B">
        <w:t xml:space="preserve"> and safety. </w:t>
      </w:r>
    </w:p>
    <w:p w14:paraId="65A2231A" w14:textId="05B17FAE" w:rsidR="00030EB2" w:rsidRPr="002D0BCE" w:rsidRDefault="28D026A7" w:rsidP="00030EB2">
      <w:pPr>
        <w:rPr>
          <w:b/>
          <w:bCs/>
          <w:u w:val="single"/>
        </w:rPr>
      </w:pPr>
      <w:r w:rsidRPr="28D026A7">
        <w:rPr>
          <w:b/>
          <w:bCs/>
          <w:u w:val="single"/>
        </w:rPr>
        <w:t>Disabled People , Social Cohesion,  Equity</w:t>
      </w:r>
      <w:r w:rsidR="00846A7B" w:rsidRPr="00846A7B">
        <w:rPr>
          <w:b/>
          <w:bCs/>
          <w:u w:val="single"/>
        </w:rPr>
        <w:t xml:space="preserve"> </w:t>
      </w:r>
      <w:r w:rsidR="00846A7B" w:rsidRPr="28D026A7">
        <w:rPr>
          <w:b/>
          <w:bCs/>
          <w:u w:val="single"/>
        </w:rPr>
        <w:t>and Wellbeing</w:t>
      </w:r>
    </w:p>
    <w:p w14:paraId="1CA70A27" w14:textId="77777777" w:rsidR="004F2FCD" w:rsidRDefault="004F2FCD" w:rsidP="004F2FCD">
      <w:r>
        <w:t xml:space="preserve">A key element for disabled people is equity, in particular social and economic equity. Economic exclusion has a huge impact on both the ability to build social connections and on wellbeing outcomes for disabled people. Furthermore, the negative impacts of economic exclusion are cumulative over time. </w:t>
      </w:r>
    </w:p>
    <w:p w14:paraId="2ACC1B58" w14:textId="50B967CD" w:rsidR="00D41897" w:rsidRPr="002D0BCE" w:rsidRDefault="00D41897" w:rsidP="00D41897">
      <w:r w:rsidRPr="002D0BCE">
        <w:t>There is</w:t>
      </w:r>
      <w:r>
        <w:t xml:space="preserve"> </w:t>
      </w:r>
      <w:r w:rsidRPr="002D0BCE">
        <w:t xml:space="preserve">strong evidence that unequal societies are more materially competitive, more </w:t>
      </w:r>
      <w:proofErr w:type="gramStart"/>
      <w:r w:rsidRPr="002D0BCE">
        <w:t>hierarchical</w:t>
      </w:r>
      <w:proofErr w:type="gramEnd"/>
      <w:r w:rsidRPr="002D0BCE">
        <w:t xml:space="preserve"> and more stressful for everyone</w:t>
      </w:r>
      <w:r w:rsidRPr="002D0BCE">
        <w:rPr>
          <w:vertAlign w:val="superscript"/>
        </w:rPr>
        <w:footnoteReference w:id="2"/>
      </w:r>
      <w:r w:rsidRPr="002D0BCE">
        <w:t xml:space="preserve">.  It benefits everyone to ensure that no demographic or group is left behind in poverty or wellbeing outcomes. </w:t>
      </w:r>
    </w:p>
    <w:p w14:paraId="0E3AABB0" w14:textId="710C64E3" w:rsidR="00030EB2" w:rsidRPr="002D0BCE" w:rsidRDefault="008B7F44" w:rsidP="00030EB2">
      <w:r>
        <w:t xml:space="preserve">It is </w:t>
      </w:r>
      <w:r w:rsidR="00A17FC6">
        <w:t xml:space="preserve">also </w:t>
      </w:r>
      <w:r>
        <w:t xml:space="preserve">well established </w:t>
      </w:r>
      <w:r w:rsidR="00C16EA9">
        <w:t xml:space="preserve">that </w:t>
      </w:r>
      <w:r w:rsidR="00030EB2" w:rsidRPr="002D0BCE">
        <w:t>wellbeing outcomes are much poorer for disabled people and their whānau across a wide range of measures</w:t>
      </w:r>
      <w:r w:rsidR="00030EB2" w:rsidRPr="002D0BCE">
        <w:rPr>
          <w:vertAlign w:val="superscript"/>
        </w:rPr>
        <w:footnoteReference w:id="3"/>
      </w:r>
      <w:r w:rsidR="00030EB2" w:rsidRPr="002D0BCE">
        <w:t xml:space="preserve"> </w:t>
      </w:r>
      <w:r w:rsidR="00030EB2" w:rsidRPr="002D0BCE">
        <w:rPr>
          <w:vertAlign w:val="superscript"/>
        </w:rPr>
        <w:footnoteReference w:id="4"/>
      </w:r>
      <w:r w:rsidR="00030EB2" w:rsidRPr="002D0BCE">
        <w:t xml:space="preserve">  </w:t>
      </w:r>
      <w:r w:rsidR="00030EB2" w:rsidRPr="002D0BCE">
        <w:rPr>
          <w:vertAlign w:val="superscript"/>
        </w:rPr>
        <w:footnoteReference w:id="5"/>
      </w:r>
    </w:p>
    <w:p w14:paraId="755E1166" w14:textId="49D961FE" w:rsidR="00C16EA9" w:rsidRPr="002D0BCE" w:rsidRDefault="008109F3" w:rsidP="00C16EA9">
      <w:r>
        <w:t xml:space="preserve">DPA believes that </w:t>
      </w:r>
      <w:r w:rsidR="00DB4DD6">
        <w:t>a</w:t>
      </w:r>
      <w:r w:rsidR="00C16EA9">
        <w:t>s long as</w:t>
      </w:r>
      <w:r w:rsidR="00C16EA9" w:rsidRPr="002D0BCE">
        <w:t xml:space="preserve"> disabled people, who have some of the poorest wellbeing outcomes in our communities, </w:t>
      </w:r>
      <w:r w:rsidR="00C16EA9">
        <w:t xml:space="preserve">continue to be socially and economically excluded, it will be difficult, if not impossible, to build strong social cohesion. </w:t>
      </w:r>
    </w:p>
    <w:p w14:paraId="01BC8D75" w14:textId="7EC97A89" w:rsidR="00C16EA9" w:rsidRDefault="28D026A7" w:rsidP="00C16EA9">
      <w:r>
        <w:t xml:space="preserve">To be meaningful for disabled people, any social cohesion framework must include measures that will improve </w:t>
      </w:r>
      <w:r w:rsidR="005012FE">
        <w:t xml:space="preserve">economic equity and </w:t>
      </w:r>
      <w:r>
        <w:t xml:space="preserve">wellbeing for disabled people, particularly for disabled Māori, Pacific and children who experience some of the greatest inequality in our communities. </w:t>
      </w:r>
    </w:p>
    <w:p w14:paraId="398B6745" w14:textId="7BBCC1EE" w:rsidR="00C16EA9" w:rsidRPr="002D0BCE" w:rsidRDefault="00C16EA9" w:rsidP="00C16EA9">
      <w:r w:rsidRPr="002D0BCE">
        <w:t xml:space="preserve">Failure to directly address </w:t>
      </w:r>
      <w:r>
        <w:t>equity</w:t>
      </w:r>
      <w:r w:rsidRPr="002D0BCE">
        <w:t xml:space="preserve"> for disabled people</w:t>
      </w:r>
      <w:r>
        <w:t xml:space="preserve"> </w:t>
      </w:r>
      <w:r w:rsidRPr="002D0BCE">
        <w:t>risks disabled people being left behind and increasing inequality for disabled people and their whānau</w:t>
      </w:r>
      <w:r w:rsidR="00446A95">
        <w:t xml:space="preserve"> which in turn will hinder other measures taken to build social cohesion</w:t>
      </w:r>
      <w:r w:rsidRPr="002D0BCE">
        <w:t xml:space="preserve">. </w:t>
      </w:r>
    </w:p>
    <w:p w14:paraId="5CBA350C" w14:textId="5FA0A825" w:rsidR="00F753CC" w:rsidRDefault="28D026A7" w:rsidP="00F753CC">
      <w:r>
        <w:lastRenderedPageBreak/>
        <w:t>For these reasons DPA considers it important that any social cohesion framework is explicit that there needs to be social and economic equity for disabled people and other marginalised groups. This needs to be much more specific and tangible than has been captured in the proposed actions under “</w:t>
      </w:r>
      <w:r w:rsidRPr="28D026A7">
        <w:rPr>
          <w:i/>
          <w:iCs/>
        </w:rPr>
        <w:t xml:space="preserve">Improve equitable access to the determinants of wellbeing for all” </w:t>
      </w:r>
      <w:r>
        <w:t xml:space="preserve">- and must capture fundamentals such as healthy food and warm safe and accessible housing. </w:t>
      </w:r>
    </w:p>
    <w:p w14:paraId="1E394817" w14:textId="2C47C294" w:rsidR="00F53106" w:rsidRDefault="006710D5" w:rsidP="00F53106">
      <w:r>
        <w:t xml:space="preserve">Another area of concern for DPA is the </w:t>
      </w:r>
      <w:r w:rsidR="00AE46B4">
        <w:t>reference</w:t>
      </w:r>
      <w:r>
        <w:t xml:space="preserve"> throughout the framework </w:t>
      </w:r>
      <w:r w:rsidR="00AE46B4">
        <w:t>to</w:t>
      </w:r>
      <w:r>
        <w:t xml:space="preserve"> access and accessibility, rather than participation and equitable </w:t>
      </w:r>
      <w:r w:rsidR="00B860D6">
        <w:t>outcomes. This</w:t>
      </w:r>
      <w:r w:rsidR="28D026A7">
        <w:t xml:space="preserve"> is particularly evident in the statement “</w:t>
      </w:r>
      <w:r w:rsidR="28D026A7" w:rsidRPr="28D026A7">
        <w:rPr>
          <w:i/>
          <w:iCs/>
        </w:rPr>
        <w:t>Improve equitable access to the determinants of wellbeing for all”</w:t>
      </w:r>
      <w:r w:rsidR="28D026A7">
        <w:t xml:space="preserve"> that is used in the framework.</w:t>
      </w:r>
      <w:r w:rsidR="00685A83">
        <w:t xml:space="preserve"> </w:t>
      </w:r>
      <w:r w:rsidR="28D026A7">
        <w:t xml:space="preserve">Further on, </w:t>
      </w:r>
      <w:r w:rsidR="007B6AD5">
        <w:t xml:space="preserve">it </w:t>
      </w:r>
      <w:r w:rsidR="28D026A7">
        <w:t>goes on to suggest that a</w:t>
      </w:r>
      <w:r w:rsidR="00D51921">
        <w:t xml:space="preserve">n </w:t>
      </w:r>
      <w:r w:rsidR="28D026A7">
        <w:t>action for central government for “</w:t>
      </w:r>
      <w:bookmarkStart w:id="0" w:name="_Hlk99102893"/>
      <w:r w:rsidR="28D026A7" w:rsidRPr="28D026A7">
        <w:rPr>
          <w:i/>
          <w:iCs/>
        </w:rPr>
        <w:t>Improve equitable access to the determinants of wellbeing for all”</w:t>
      </w:r>
      <w:r w:rsidR="28D026A7">
        <w:t xml:space="preserve"> </w:t>
      </w:r>
      <w:bookmarkEnd w:id="0"/>
      <w:r w:rsidR="28D026A7">
        <w:t>be “</w:t>
      </w:r>
      <w:r w:rsidR="28D026A7" w:rsidRPr="28D026A7">
        <w:rPr>
          <w:i/>
          <w:iCs/>
        </w:rPr>
        <w:t xml:space="preserve">Provide funding for accessibility services (i.e. </w:t>
      </w:r>
      <w:proofErr w:type="gramStart"/>
      <w:r w:rsidR="28D026A7" w:rsidRPr="28D026A7">
        <w:rPr>
          <w:i/>
          <w:iCs/>
        </w:rPr>
        <w:t>interpreters)“</w:t>
      </w:r>
      <w:proofErr w:type="gramEnd"/>
      <w:r w:rsidR="28D026A7">
        <w:t xml:space="preserve"> </w:t>
      </w:r>
    </w:p>
    <w:p w14:paraId="501C5398" w14:textId="23421A4D" w:rsidR="002301ED" w:rsidRDefault="009C7FCF" w:rsidP="00C20D4D">
      <w:r>
        <w:t>There are two comments we would like to make here. Firstly</w:t>
      </w:r>
      <w:r w:rsidR="00892591">
        <w:t>,</w:t>
      </w:r>
      <w:r>
        <w:t xml:space="preserve"> disabled people need </w:t>
      </w:r>
      <w:r w:rsidR="001C51BD">
        <w:t xml:space="preserve">equitable </w:t>
      </w:r>
      <w:r>
        <w:t xml:space="preserve">access to </w:t>
      </w:r>
      <w:r w:rsidR="001C51BD">
        <w:t>services across society, not just</w:t>
      </w:r>
      <w:r w:rsidR="00030076">
        <w:t xml:space="preserve"> to</w:t>
      </w:r>
      <w:r w:rsidR="001C51BD">
        <w:t xml:space="preserve"> accessibility services. Secondly</w:t>
      </w:r>
      <w:r w:rsidR="00616F32">
        <w:t xml:space="preserve"> w</w:t>
      </w:r>
      <w:r w:rsidR="003F412D">
        <w:t xml:space="preserve">hile </w:t>
      </w:r>
      <w:r w:rsidR="00544270">
        <w:t xml:space="preserve">DPA </w:t>
      </w:r>
      <w:r w:rsidR="00823BF7">
        <w:t>strongly</w:t>
      </w:r>
      <w:r w:rsidR="00544270">
        <w:t xml:space="preserve"> supports </w:t>
      </w:r>
      <w:r w:rsidR="00195615">
        <w:t xml:space="preserve">and regularly advocates for </w:t>
      </w:r>
      <w:r w:rsidR="003F412D">
        <w:t>improv</w:t>
      </w:r>
      <w:r w:rsidR="00195615">
        <w:t>ed</w:t>
      </w:r>
      <w:r w:rsidR="003F412D">
        <w:t xml:space="preserve"> access </w:t>
      </w:r>
      <w:r w:rsidR="00D375DF">
        <w:t>and accessibility</w:t>
      </w:r>
      <w:r w:rsidR="000114D3">
        <w:t>;</w:t>
      </w:r>
      <w:r w:rsidR="00917E74">
        <w:t xml:space="preserve"> </w:t>
      </w:r>
      <w:r w:rsidR="00275D0A">
        <w:t xml:space="preserve">and </w:t>
      </w:r>
      <w:r w:rsidR="00823BF7">
        <w:t xml:space="preserve">increasing </w:t>
      </w:r>
      <w:r w:rsidR="00275D0A">
        <w:t xml:space="preserve">funding </w:t>
      </w:r>
      <w:r w:rsidR="006B054C">
        <w:t xml:space="preserve">for </w:t>
      </w:r>
      <w:r w:rsidR="00275D0A">
        <w:t>accessibility services</w:t>
      </w:r>
      <w:r w:rsidR="00D375DF">
        <w:t xml:space="preserve"> </w:t>
      </w:r>
      <w:r w:rsidR="00CC7D94">
        <w:t>is one sma</w:t>
      </w:r>
      <w:r w:rsidR="00980196">
        <w:t xml:space="preserve">ll </w:t>
      </w:r>
      <w:r w:rsidR="00EF67D8">
        <w:t>component</w:t>
      </w:r>
      <w:r w:rsidR="0033464E">
        <w:t xml:space="preserve"> </w:t>
      </w:r>
      <w:r w:rsidR="00195615">
        <w:t>of this</w:t>
      </w:r>
      <w:r w:rsidR="00922F63">
        <w:t xml:space="preserve">, </w:t>
      </w:r>
      <w:r w:rsidR="00195615">
        <w:t>it is</w:t>
      </w:r>
      <w:r w:rsidR="00546894">
        <w:t xml:space="preserve"> </w:t>
      </w:r>
      <w:r w:rsidR="00980196">
        <w:t>important</w:t>
      </w:r>
      <w:r w:rsidR="00546894">
        <w:t xml:space="preserve"> that</w:t>
      </w:r>
      <w:r w:rsidR="00275D0A">
        <w:t xml:space="preserve"> </w:t>
      </w:r>
      <w:r w:rsidR="00334433">
        <w:t xml:space="preserve">improving </w:t>
      </w:r>
      <w:r w:rsidR="00546894">
        <w:t>accessibility</w:t>
      </w:r>
      <w:r w:rsidR="00922F63">
        <w:t xml:space="preserve"> </w:t>
      </w:r>
      <w:r w:rsidR="00B04161">
        <w:t>does not become a</w:t>
      </w:r>
      <w:r w:rsidR="00546894">
        <w:t xml:space="preserve"> proxy for </w:t>
      </w:r>
      <w:r w:rsidR="0051199A">
        <w:t>improving</w:t>
      </w:r>
      <w:r w:rsidR="008B35B8">
        <w:t xml:space="preserve"> participation</w:t>
      </w:r>
      <w:r w:rsidR="003322B4">
        <w:t xml:space="preserve"> and wellbeing</w:t>
      </w:r>
      <w:r w:rsidR="005E09A0">
        <w:t xml:space="preserve"> for disabled people</w:t>
      </w:r>
      <w:r w:rsidR="00703BC5">
        <w:t xml:space="preserve">. </w:t>
      </w:r>
      <w:r w:rsidR="00051A6D">
        <w:t xml:space="preserve"> </w:t>
      </w:r>
    </w:p>
    <w:p w14:paraId="36157E53" w14:textId="4A9D23FA" w:rsidR="00F53106" w:rsidRDefault="000D60C0" w:rsidP="00F53106">
      <w:r>
        <w:t>Put simply, p</w:t>
      </w:r>
      <w:r w:rsidR="0033464E">
        <w:t>rogress in improving access</w:t>
      </w:r>
      <w:r w:rsidR="00AD097B">
        <w:t>ibility</w:t>
      </w:r>
      <w:r w:rsidR="00A54195">
        <w:t xml:space="preserve"> is not the same as </w:t>
      </w:r>
      <w:r w:rsidR="0033464E">
        <w:t xml:space="preserve">progress in improving </w:t>
      </w:r>
      <w:r w:rsidR="00374698">
        <w:t>participation and wellbeing</w:t>
      </w:r>
      <w:r w:rsidR="00F53106">
        <w:t xml:space="preserve"> for disabled people</w:t>
      </w:r>
      <w:r w:rsidR="0033464E">
        <w:t xml:space="preserve">. </w:t>
      </w:r>
      <w:r w:rsidR="00D62A49">
        <w:t>For example, i</w:t>
      </w:r>
      <w:r w:rsidR="00F53106">
        <w:t xml:space="preserve">mproving access to </w:t>
      </w:r>
      <w:r w:rsidR="00A85F09">
        <w:t>MSD</w:t>
      </w:r>
      <w:r w:rsidR="00F53106">
        <w:t xml:space="preserve"> services</w:t>
      </w:r>
      <w:r w:rsidR="00D62A49">
        <w:t xml:space="preserve"> by </w:t>
      </w:r>
      <w:r w:rsidR="001C4729">
        <w:t>increasing funding for NZSL interpreters</w:t>
      </w:r>
      <w:r w:rsidR="00F53106">
        <w:t xml:space="preserve"> will not ensure that a disabled person has sufficient income to feed themselves </w:t>
      </w:r>
      <w:r w:rsidR="00B40974">
        <w:t xml:space="preserve">well </w:t>
      </w:r>
      <w:r w:rsidR="00F53106">
        <w:t>if benefit levels are too low.</w:t>
      </w:r>
      <w:r w:rsidR="00B107B4">
        <w:t xml:space="preserve"> </w:t>
      </w:r>
    </w:p>
    <w:p w14:paraId="57A3214A" w14:textId="62DB07A5" w:rsidR="00823BF7" w:rsidRDefault="28D026A7" w:rsidP="00F53106">
      <w:r>
        <w:t xml:space="preserve">Similarly improving access to </w:t>
      </w:r>
      <w:proofErr w:type="spellStart"/>
      <w:r>
        <w:t>kaianga</w:t>
      </w:r>
      <w:proofErr w:type="spellEnd"/>
      <w:r>
        <w:t xml:space="preserve"> </w:t>
      </w:r>
      <w:proofErr w:type="spellStart"/>
      <w:r>
        <w:t>ora</w:t>
      </w:r>
      <w:proofErr w:type="spellEnd"/>
      <w:r>
        <w:t xml:space="preserve"> services will not ensure that disabled people are safely and securely housed in warm dry accessible homes if there are insufficient accessible state homes available. </w:t>
      </w:r>
    </w:p>
    <w:p w14:paraId="2AAE9419" w14:textId="778374F6" w:rsidR="00F53106" w:rsidRDefault="00A817CD" w:rsidP="00F53106">
      <w:r>
        <w:t xml:space="preserve">The limitations of </w:t>
      </w:r>
      <w:r w:rsidR="007D469F">
        <w:t xml:space="preserve">what can be </w:t>
      </w:r>
      <w:r w:rsidR="00823BF7">
        <w:t>achieved</w:t>
      </w:r>
      <w:r w:rsidR="007D469F">
        <w:t xml:space="preserve"> by improving </w:t>
      </w:r>
      <w:r>
        <w:t xml:space="preserve">access need to be understood </w:t>
      </w:r>
      <w:r w:rsidR="006F6A31">
        <w:t>when developing</w:t>
      </w:r>
      <w:r>
        <w:t xml:space="preserve"> </w:t>
      </w:r>
      <w:r w:rsidR="009637A2">
        <w:t xml:space="preserve">and implementing </w:t>
      </w:r>
      <w:r>
        <w:t>the framework</w:t>
      </w:r>
      <w:r w:rsidR="00662D2E">
        <w:t xml:space="preserve">. </w:t>
      </w:r>
      <w:r w:rsidR="00F357A3">
        <w:t>It is</w:t>
      </w:r>
      <w:r w:rsidR="00A42932">
        <w:t xml:space="preserve"> action on</w:t>
      </w:r>
      <w:r w:rsidR="00F357A3">
        <w:t xml:space="preserve"> </w:t>
      </w:r>
      <w:r w:rsidR="0092286D">
        <w:t xml:space="preserve">access AND </w:t>
      </w:r>
      <w:r w:rsidR="00D341C2">
        <w:t xml:space="preserve">economic equity AND </w:t>
      </w:r>
      <w:r w:rsidR="00B72724">
        <w:t xml:space="preserve">social </w:t>
      </w:r>
      <w:r w:rsidR="00D341C2">
        <w:t>participation</w:t>
      </w:r>
      <w:r w:rsidR="006F6A31">
        <w:t xml:space="preserve"> </w:t>
      </w:r>
      <w:r w:rsidR="00D341C2">
        <w:t>that is needed</w:t>
      </w:r>
      <w:r w:rsidR="00C410E2">
        <w:t>. Actions listed in the tables for c</w:t>
      </w:r>
      <w:r w:rsidR="001837C9">
        <w:t xml:space="preserve">entral government need to </w:t>
      </w:r>
      <w:r w:rsidR="00A04015">
        <w:t xml:space="preserve">make </w:t>
      </w:r>
      <w:r w:rsidR="00B40974">
        <w:t>progress</w:t>
      </w:r>
      <w:r w:rsidR="006A643D">
        <w:t xml:space="preserve"> </w:t>
      </w:r>
      <w:r w:rsidR="00A04015">
        <w:t xml:space="preserve">across </w:t>
      </w:r>
      <w:r w:rsidR="006A643D">
        <w:t xml:space="preserve">all of these areas. </w:t>
      </w:r>
      <w:r w:rsidR="00047C66">
        <w:t xml:space="preserve">Action on </w:t>
      </w:r>
      <w:r w:rsidR="00047C66">
        <w:lastRenderedPageBreak/>
        <w:t xml:space="preserve">access without progressing </w:t>
      </w:r>
      <w:r w:rsidR="00002110">
        <w:t>economic equity</w:t>
      </w:r>
      <w:r w:rsidR="00047C66">
        <w:t xml:space="preserve"> risk</w:t>
      </w:r>
      <w:r w:rsidR="002427E2">
        <w:t>s</w:t>
      </w:r>
      <w:r w:rsidR="00047C66">
        <w:t xml:space="preserve"> being tokenistic rather than transformative.  </w:t>
      </w:r>
      <w:r w:rsidR="00D341C2">
        <w:t xml:space="preserve"> </w:t>
      </w:r>
    </w:p>
    <w:p w14:paraId="60D6D2C5" w14:textId="133E5283" w:rsidR="009E1825" w:rsidRDefault="28D026A7" w:rsidP="00C20D4D">
      <w:r>
        <w:t xml:space="preserve">DPA recommends that attention be given to just what is intended by the terms access and accessibility throughout the framework and care is taken to ensure that these terms are not being used as a proxy for participation or </w:t>
      </w:r>
      <w:r w:rsidR="005A76E1">
        <w:t>wellbeing</w:t>
      </w:r>
      <w:r>
        <w:t xml:space="preserve">. </w:t>
      </w:r>
    </w:p>
    <w:p w14:paraId="6A63847F" w14:textId="5DCF0547" w:rsidR="004627A0" w:rsidRDefault="004627A0" w:rsidP="004627A0">
      <w:pPr>
        <w:rPr>
          <w:b/>
          <w:bCs/>
          <w:u w:val="single"/>
        </w:rPr>
      </w:pPr>
      <w:r w:rsidRPr="002D0BCE">
        <w:rPr>
          <w:b/>
          <w:bCs/>
          <w:u w:val="single"/>
        </w:rPr>
        <w:t xml:space="preserve">Disabled </w:t>
      </w:r>
      <w:proofErr w:type="gramStart"/>
      <w:r w:rsidRPr="002D0BCE">
        <w:rPr>
          <w:b/>
          <w:bCs/>
          <w:u w:val="single"/>
        </w:rPr>
        <w:t xml:space="preserve">People </w:t>
      </w:r>
      <w:r w:rsidRPr="004627A0">
        <w:rPr>
          <w:b/>
          <w:bCs/>
          <w:u w:val="single"/>
        </w:rPr>
        <w:t>,</w:t>
      </w:r>
      <w:proofErr w:type="gramEnd"/>
      <w:r>
        <w:rPr>
          <w:b/>
          <w:bCs/>
          <w:u w:val="single"/>
        </w:rPr>
        <w:t xml:space="preserve"> Trust and Safety</w:t>
      </w:r>
    </w:p>
    <w:p w14:paraId="6AAE1D83" w14:textId="77777777" w:rsidR="00015783" w:rsidRPr="00015783" w:rsidRDefault="00015783" w:rsidP="00015783">
      <w:pPr>
        <w:rPr>
          <w:b/>
        </w:rPr>
      </w:pPr>
      <w:r w:rsidRPr="00015783">
        <w:rPr>
          <w:b/>
        </w:rPr>
        <w:t>Data on trust</w:t>
      </w:r>
    </w:p>
    <w:p w14:paraId="34AF0B19" w14:textId="2A55B3D4" w:rsidR="00015783" w:rsidRPr="00015783" w:rsidRDefault="00271CBD" w:rsidP="00015783">
      <w:r>
        <w:t xml:space="preserve">Trust </w:t>
      </w:r>
      <w:r w:rsidR="001806B0">
        <w:t xml:space="preserve">between people </w:t>
      </w:r>
      <w:r>
        <w:t xml:space="preserve">and in public </w:t>
      </w:r>
      <w:r w:rsidR="00F42BBB">
        <w:t xml:space="preserve">and private institutions systems is </w:t>
      </w:r>
      <w:r w:rsidR="001806B0">
        <w:t>widely recognised</w:t>
      </w:r>
      <w:r w:rsidR="00F42BBB">
        <w:t xml:space="preserve"> </w:t>
      </w:r>
      <w:r w:rsidR="001806B0">
        <w:t xml:space="preserve">as a </w:t>
      </w:r>
      <w:r w:rsidR="00F42BBB">
        <w:t xml:space="preserve">fundamental component of </w:t>
      </w:r>
      <w:r w:rsidR="001806B0">
        <w:t>social cohesion</w:t>
      </w:r>
      <w:r w:rsidR="00AE46B4">
        <w:rPr>
          <w:rStyle w:val="FootnoteReference"/>
        </w:rPr>
        <w:footnoteReference w:id="6"/>
      </w:r>
      <w:r w:rsidR="001806B0">
        <w:t xml:space="preserve">. DPA would like to draw attention to </w:t>
      </w:r>
      <w:r w:rsidR="006E7F38">
        <w:t xml:space="preserve">the </w:t>
      </w:r>
      <w:r w:rsidR="00015783" w:rsidRPr="00015783">
        <w:t>following data on trust.</w:t>
      </w:r>
      <w:r w:rsidR="00823884">
        <w:rPr>
          <w:rStyle w:val="FootnoteReference"/>
        </w:rPr>
        <w:footnoteReference w:id="7"/>
      </w:r>
      <w:r w:rsidR="00015783" w:rsidRPr="00015783">
        <w:t xml:space="preserve">  In 2020, disabled people aged 18 to 64 compared to non-disabled people the same age are:</w:t>
      </w:r>
    </w:p>
    <w:p w14:paraId="3A499620" w14:textId="77777777" w:rsidR="00015783" w:rsidRPr="00015783" w:rsidRDefault="00015783" w:rsidP="00015783">
      <w:pPr>
        <w:numPr>
          <w:ilvl w:val="0"/>
          <w:numId w:val="15"/>
        </w:numPr>
      </w:pPr>
      <w:r w:rsidRPr="00015783">
        <w:t xml:space="preserve">2.8 times more likely to have low trust in other people in New </w:t>
      </w:r>
      <w:proofErr w:type="gramStart"/>
      <w:r w:rsidRPr="00015783">
        <w:t>Zealand;</w:t>
      </w:r>
      <w:proofErr w:type="gramEnd"/>
    </w:p>
    <w:p w14:paraId="34110D83" w14:textId="77777777" w:rsidR="00015783" w:rsidRPr="00015783" w:rsidRDefault="00015783" w:rsidP="00015783">
      <w:pPr>
        <w:numPr>
          <w:ilvl w:val="0"/>
          <w:numId w:val="15"/>
        </w:numPr>
      </w:pPr>
      <w:r w:rsidRPr="00015783">
        <w:t xml:space="preserve">3 times more likely to have low trust in the health </w:t>
      </w:r>
      <w:proofErr w:type="gramStart"/>
      <w:r w:rsidRPr="00015783">
        <w:t>system;</w:t>
      </w:r>
      <w:proofErr w:type="gramEnd"/>
    </w:p>
    <w:p w14:paraId="0D4023CC" w14:textId="77777777" w:rsidR="00015783" w:rsidRPr="00015783" w:rsidRDefault="00015783" w:rsidP="00015783">
      <w:pPr>
        <w:numPr>
          <w:ilvl w:val="0"/>
          <w:numId w:val="15"/>
        </w:numPr>
      </w:pPr>
      <w:r w:rsidRPr="00015783">
        <w:t xml:space="preserve">1.8 times more likely to have low trust in </w:t>
      </w:r>
      <w:proofErr w:type="gramStart"/>
      <w:r w:rsidRPr="00015783">
        <w:t>Parliament;</w:t>
      </w:r>
      <w:proofErr w:type="gramEnd"/>
    </w:p>
    <w:p w14:paraId="70AA0E57" w14:textId="77777777" w:rsidR="00015783" w:rsidRPr="00015783" w:rsidRDefault="00015783" w:rsidP="00015783">
      <w:pPr>
        <w:numPr>
          <w:ilvl w:val="0"/>
          <w:numId w:val="15"/>
        </w:numPr>
      </w:pPr>
      <w:r w:rsidRPr="00015783">
        <w:t>3.7 times more likely to have low trust in the Police; and</w:t>
      </w:r>
    </w:p>
    <w:p w14:paraId="46F51984" w14:textId="77777777" w:rsidR="00015783" w:rsidRPr="00015783" w:rsidRDefault="00015783" w:rsidP="00015783">
      <w:pPr>
        <w:numPr>
          <w:ilvl w:val="0"/>
          <w:numId w:val="15"/>
        </w:numPr>
      </w:pPr>
      <w:r w:rsidRPr="00015783">
        <w:t>1.4 times more likely to have low trust in the media.</w:t>
      </w:r>
    </w:p>
    <w:p w14:paraId="046B4EE0" w14:textId="7658DDF1" w:rsidR="00015783" w:rsidRPr="00015783" w:rsidRDefault="00015783" w:rsidP="00015783">
      <w:r w:rsidRPr="00015783">
        <w:t xml:space="preserve">The table below compares different demographic groups that are more likely to report low trust. </w:t>
      </w:r>
      <w:r w:rsidR="00434A21" w:rsidRPr="00015783">
        <w:t>Low trust means a score of 0 to 4 on a scale where 0 is not trusted at all and 10 is trusted completely.</w:t>
      </w:r>
      <w:r w:rsidR="00434A21">
        <w:t xml:space="preserve"> </w:t>
      </w:r>
      <w:r w:rsidRPr="00015783">
        <w:t xml:space="preserve">Disabled people aged 18 to 64 are the demographic most likely to report low trust in the health system, people generally, and the police. </w:t>
      </w:r>
    </w:p>
    <w:p w14:paraId="6434CD3C" w14:textId="77777777" w:rsidR="00C132C1" w:rsidRDefault="00015783" w:rsidP="00015783">
      <w:r w:rsidRPr="00015783">
        <w:t xml:space="preserve">Of particular concern are the high rates of low trust reported by disabled people in the health system and the police. </w:t>
      </w:r>
      <w:r w:rsidR="00C132C1" w:rsidRPr="00015783">
        <w:t xml:space="preserve">The low trust reported by disabled people is also a reflection of the negative attitudes and bias that disabled people continue to experience from wider society. </w:t>
      </w:r>
    </w:p>
    <w:p w14:paraId="394CAD00" w14:textId="0E8E9B3F" w:rsidR="00015783" w:rsidRPr="00015783" w:rsidRDefault="00C132C1" w:rsidP="00015783">
      <w:r>
        <w:lastRenderedPageBreak/>
        <w:t>DPA believes that t</w:t>
      </w:r>
      <w:r w:rsidR="00015783" w:rsidRPr="00015783">
        <w:t xml:space="preserve">hese </w:t>
      </w:r>
      <w:r w:rsidR="007C5886">
        <w:t>findings</w:t>
      </w:r>
      <w:r w:rsidR="00015783" w:rsidRPr="00015783">
        <w:t xml:space="preserve"> indicate the need for significant work to be done in </w:t>
      </w:r>
      <w:r w:rsidR="002E4358">
        <w:t xml:space="preserve">and </w:t>
      </w:r>
      <w:r>
        <w:t>across multiple sectors</w:t>
      </w:r>
      <w:r w:rsidR="00015783" w:rsidRPr="00015783">
        <w:t xml:space="preserve"> to improve awareness and understanding of disabled people</w:t>
      </w:r>
      <w:r w:rsidR="00C06278">
        <w:t>’s</w:t>
      </w:r>
      <w:r>
        <w:t xml:space="preserve"> rights </w:t>
      </w:r>
      <w:r w:rsidR="009C6188">
        <w:t>and commitment to upholding them in all interactions with disabled people</w:t>
      </w:r>
      <w:r w:rsidR="00015783" w:rsidRPr="00015783">
        <w:t xml:space="preserve">. </w:t>
      </w:r>
      <w:r w:rsidR="007C5886">
        <w:t xml:space="preserve"> </w:t>
      </w:r>
    </w:p>
    <w:p w14:paraId="4D95B383" w14:textId="77777777" w:rsidR="00015783" w:rsidRPr="00015783" w:rsidRDefault="00015783" w:rsidP="00015783">
      <w:bookmarkStart w:id="1" w:name="_ufglcggsp04t" w:colFirst="0" w:colLast="0"/>
      <w:bookmarkEnd w:id="1"/>
      <w:r w:rsidRPr="00015783">
        <w:rPr>
          <w:noProof/>
        </w:rPr>
        <w:drawing>
          <wp:inline distT="0" distB="0" distL="0" distR="0" wp14:anchorId="5C877A8C" wp14:editId="54753C80">
            <wp:extent cx="6091200" cy="5151600"/>
            <wp:effectExtent l="0" t="0" r="5080" b="11430"/>
            <wp:docPr id="3" name="Chart 3">
              <a:extLst xmlns:a="http://schemas.openxmlformats.org/drawingml/2006/main">
                <a:ext uri="{FF2B5EF4-FFF2-40B4-BE49-F238E27FC236}">
                  <a16:creationId xmlns:a16="http://schemas.microsoft.com/office/drawing/2014/main" id="{9DBA175F-BBDE-4E0F-8ED0-76D238EB2B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14929E" w14:textId="77777777" w:rsidR="00015783" w:rsidRPr="00015783" w:rsidRDefault="00015783" w:rsidP="00015783"/>
    <w:p w14:paraId="6A0A5E5D" w14:textId="6BA4BA6D" w:rsidR="00C85205" w:rsidRPr="0084643E" w:rsidRDefault="002B41D0" w:rsidP="004627A0">
      <w:pPr>
        <w:rPr>
          <w:b/>
          <w:bCs/>
          <w:u w:val="single"/>
          <w:lang w:val="en-US"/>
        </w:rPr>
      </w:pPr>
      <w:r>
        <w:rPr>
          <w:b/>
          <w:bCs/>
          <w:u w:val="single"/>
          <w:lang w:val="en-US"/>
        </w:rPr>
        <w:t xml:space="preserve">Safety: </w:t>
      </w:r>
      <w:r w:rsidR="0084643E" w:rsidRPr="0084643E">
        <w:rPr>
          <w:b/>
          <w:bCs/>
          <w:u w:val="single"/>
          <w:lang w:val="en-US"/>
        </w:rPr>
        <w:t xml:space="preserve">Disabled people more at risk from </w:t>
      </w:r>
      <w:r w:rsidR="00BE46F8">
        <w:rPr>
          <w:b/>
          <w:bCs/>
          <w:u w:val="single"/>
          <w:lang w:val="en-US"/>
        </w:rPr>
        <w:t>V</w:t>
      </w:r>
      <w:r w:rsidR="0084643E" w:rsidRPr="0084643E">
        <w:rPr>
          <w:b/>
          <w:bCs/>
          <w:u w:val="single"/>
          <w:lang w:val="en-US"/>
        </w:rPr>
        <w:t xml:space="preserve">iolence and </w:t>
      </w:r>
      <w:r w:rsidR="00BE46F8">
        <w:rPr>
          <w:b/>
          <w:bCs/>
          <w:u w:val="single"/>
          <w:lang w:val="en-US"/>
        </w:rPr>
        <w:t>A</w:t>
      </w:r>
      <w:r w:rsidR="0084643E" w:rsidRPr="0084643E">
        <w:rPr>
          <w:b/>
          <w:bCs/>
          <w:u w:val="single"/>
          <w:lang w:val="en-US"/>
        </w:rPr>
        <w:t>buse.</w:t>
      </w:r>
    </w:p>
    <w:p w14:paraId="50BC3529" w14:textId="2990E554" w:rsidR="00812841" w:rsidRPr="00812841" w:rsidRDefault="0084643E" w:rsidP="00812841">
      <w:pPr>
        <w:rPr>
          <w:lang w:val="en-US"/>
        </w:rPr>
      </w:pPr>
      <w:r>
        <w:rPr>
          <w:lang w:val="en-US"/>
        </w:rPr>
        <w:t xml:space="preserve">Being safe from violence and abuse is fundamental to building trust and social cohesion. The </w:t>
      </w:r>
      <w:r w:rsidR="00812841" w:rsidRPr="00812841">
        <w:rPr>
          <w:lang w:val="en-US"/>
        </w:rPr>
        <w:t>Ministry of Justice's New Zealand Crime and Victims Survey</w:t>
      </w:r>
      <w:r w:rsidR="00B909A2" w:rsidRPr="0084643E">
        <w:rPr>
          <w:rStyle w:val="FootnoteReference"/>
          <w:lang w:val="en-US"/>
        </w:rPr>
        <w:footnoteReference w:id="8"/>
      </w:r>
      <w:r w:rsidR="00812841" w:rsidRPr="00812841">
        <w:rPr>
          <w:lang w:val="en-US"/>
        </w:rPr>
        <w:t xml:space="preserve"> found </w:t>
      </w:r>
      <w:r w:rsidR="00812841" w:rsidRPr="00812841">
        <w:rPr>
          <w:lang w:val="en-US"/>
        </w:rPr>
        <w:lastRenderedPageBreak/>
        <w:t>disabled people were significantly more likely to experience crime across all categories - particularly sexual assault and intimate partner violence.</w:t>
      </w:r>
    </w:p>
    <w:p w14:paraId="5F503BE9" w14:textId="21DD50F9" w:rsidR="00812841" w:rsidRPr="00812841" w:rsidRDefault="00812841" w:rsidP="00812841">
      <w:pPr>
        <w:rPr>
          <w:lang w:val="en-US"/>
        </w:rPr>
      </w:pPr>
      <w:r w:rsidRPr="00812841">
        <w:rPr>
          <w:lang w:val="en-US"/>
        </w:rPr>
        <w:t>Of particular concern is that they found that disabled adults in New Zealand are 52% more likely to experience sexual violence in their lifetime</w:t>
      </w:r>
      <w:r w:rsidR="00CC6965" w:rsidRPr="0084643E">
        <w:rPr>
          <w:rStyle w:val="FootnoteReference"/>
          <w:lang w:val="en-US"/>
        </w:rPr>
        <w:footnoteReference w:id="9"/>
      </w:r>
      <w:r w:rsidRPr="00812841">
        <w:rPr>
          <w:lang w:val="en-US"/>
        </w:rPr>
        <w:t xml:space="preserve"> and up to 16 per cent of disabled New Zealanders experienced interpersonal violence - abuse from a partner or family member - in the previous 12 months, more than twice that compared with non-disabled people (7%)</w:t>
      </w:r>
    </w:p>
    <w:p w14:paraId="4B087CFA" w14:textId="53DA6811" w:rsidR="00D91887" w:rsidRDefault="00497EB8" w:rsidP="004627A0">
      <w:pPr>
        <w:rPr>
          <w:lang w:val="en-US"/>
        </w:rPr>
      </w:pPr>
      <w:r>
        <w:rPr>
          <w:lang w:val="en-US"/>
        </w:rPr>
        <w:t xml:space="preserve">Because of the harm that has been done and is being done to disabled people by </w:t>
      </w:r>
      <w:r w:rsidR="0051083E">
        <w:rPr>
          <w:lang w:val="en-US"/>
        </w:rPr>
        <w:t>abuse and violence in all its forms</w:t>
      </w:r>
      <w:r w:rsidR="0066710F">
        <w:rPr>
          <w:lang w:val="en-US"/>
        </w:rPr>
        <w:t xml:space="preserve">, </w:t>
      </w:r>
      <w:r w:rsidR="00C33568">
        <w:rPr>
          <w:lang w:val="en-US"/>
        </w:rPr>
        <w:t xml:space="preserve">DPA is strongly supportive of </w:t>
      </w:r>
      <w:r w:rsidR="00F67F36">
        <w:rPr>
          <w:lang w:val="en-US"/>
        </w:rPr>
        <w:t xml:space="preserve">the </w:t>
      </w:r>
      <w:r>
        <w:rPr>
          <w:lang w:val="en-US"/>
        </w:rPr>
        <w:t>government</w:t>
      </w:r>
      <w:r w:rsidR="0066710F">
        <w:rPr>
          <w:lang w:val="en-US"/>
        </w:rPr>
        <w:t>’s stated</w:t>
      </w:r>
      <w:r>
        <w:rPr>
          <w:lang w:val="en-US"/>
        </w:rPr>
        <w:t xml:space="preserve"> commitment</w:t>
      </w:r>
      <w:r w:rsidR="00F67F36">
        <w:rPr>
          <w:lang w:val="en-US"/>
        </w:rPr>
        <w:t xml:space="preserve"> to ending family and sexual violence</w:t>
      </w:r>
      <w:r w:rsidR="002D2AFA">
        <w:rPr>
          <w:lang w:val="en-US"/>
        </w:rPr>
        <w:t xml:space="preserve">. We </w:t>
      </w:r>
      <w:r w:rsidR="0066710F">
        <w:rPr>
          <w:lang w:val="en-US"/>
        </w:rPr>
        <w:t>urge</w:t>
      </w:r>
      <w:r>
        <w:rPr>
          <w:lang w:val="en-US"/>
        </w:rPr>
        <w:t xml:space="preserve"> </w:t>
      </w:r>
      <w:r w:rsidR="0066710F">
        <w:rPr>
          <w:lang w:val="en-US"/>
        </w:rPr>
        <w:t>full implementation</w:t>
      </w:r>
      <w:r w:rsidR="002D2AFA">
        <w:rPr>
          <w:lang w:val="en-US"/>
        </w:rPr>
        <w:t xml:space="preserve"> of </w:t>
      </w:r>
      <w:r w:rsidR="00F67F36">
        <w:rPr>
          <w:lang w:val="en-US"/>
        </w:rPr>
        <w:t xml:space="preserve">the recently released </w:t>
      </w:r>
      <w:r w:rsidR="00EE6ACB">
        <w:rPr>
          <w:lang w:val="en-US"/>
        </w:rPr>
        <w:t xml:space="preserve">national </w:t>
      </w:r>
      <w:r w:rsidR="00F67F36">
        <w:rPr>
          <w:lang w:val="en-US"/>
        </w:rPr>
        <w:t>strategy</w:t>
      </w:r>
      <w:r w:rsidR="00EE6ACB">
        <w:rPr>
          <w:lang w:val="en-US"/>
        </w:rPr>
        <w:t xml:space="preserve"> –</w:t>
      </w:r>
      <w:r w:rsidR="00EE6ACB" w:rsidRPr="00EE6ACB">
        <w:rPr>
          <w:b/>
          <w:bCs/>
          <w:lang w:val="mi-NZ"/>
        </w:rPr>
        <w:t>Te Aorerekura</w:t>
      </w:r>
      <w:r w:rsidR="002D2AFA">
        <w:rPr>
          <w:rStyle w:val="FootnoteReference"/>
          <w:lang w:val="en-US"/>
        </w:rPr>
        <w:footnoteReference w:id="10"/>
      </w:r>
      <w:r w:rsidR="00F67F36">
        <w:rPr>
          <w:lang w:val="en-US"/>
        </w:rPr>
        <w:t xml:space="preserve"> </w:t>
      </w:r>
      <w:r>
        <w:rPr>
          <w:lang w:val="en-US"/>
        </w:rPr>
        <w:t xml:space="preserve">across government </w:t>
      </w:r>
      <w:r w:rsidR="007B5373">
        <w:rPr>
          <w:lang w:val="en-US"/>
        </w:rPr>
        <w:t>and</w:t>
      </w:r>
      <w:r w:rsidR="0066710F">
        <w:rPr>
          <w:lang w:val="en-US"/>
        </w:rPr>
        <w:t xml:space="preserve"> see this as one of the foundations for building social cohesion. </w:t>
      </w:r>
      <w:r>
        <w:rPr>
          <w:lang w:val="en-US"/>
        </w:rPr>
        <w:t xml:space="preserve"> </w:t>
      </w:r>
    </w:p>
    <w:p w14:paraId="44737E73" w14:textId="744AFE1E" w:rsidR="008772F0" w:rsidRPr="001A5B35" w:rsidRDefault="0051083E" w:rsidP="28D026A7">
      <w:pPr>
        <w:rPr>
          <w:b/>
          <w:bCs/>
          <w:lang w:val="en-US"/>
        </w:rPr>
      </w:pPr>
      <w:r>
        <w:rPr>
          <w:lang w:val="en-US"/>
        </w:rPr>
        <w:t xml:space="preserve">We also </w:t>
      </w:r>
      <w:r w:rsidR="00D91887">
        <w:rPr>
          <w:lang w:val="en-US"/>
        </w:rPr>
        <w:t xml:space="preserve">want to </w:t>
      </w:r>
      <w:r w:rsidR="00A11D39">
        <w:rPr>
          <w:lang w:val="en-US"/>
        </w:rPr>
        <w:t xml:space="preserve">draw attention to </w:t>
      </w:r>
      <w:r>
        <w:rPr>
          <w:lang w:val="en-US"/>
        </w:rPr>
        <w:t xml:space="preserve">the extensive harm that has been done to disabled children </w:t>
      </w:r>
      <w:r w:rsidR="0060187A">
        <w:rPr>
          <w:lang w:val="en-US"/>
        </w:rPr>
        <w:t>taken into s</w:t>
      </w:r>
      <w:r>
        <w:rPr>
          <w:lang w:val="en-US"/>
        </w:rPr>
        <w:t xml:space="preserve">tate </w:t>
      </w:r>
      <w:proofErr w:type="gramStart"/>
      <w:r>
        <w:rPr>
          <w:lang w:val="en-US"/>
        </w:rPr>
        <w:t>care</w:t>
      </w:r>
      <w:r w:rsidR="00D4520E">
        <w:rPr>
          <w:lang w:val="en-US"/>
        </w:rPr>
        <w:t xml:space="preserve">, </w:t>
      </w:r>
      <w:r>
        <w:rPr>
          <w:lang w:val="en-US"/>
        </w:rPr>
        <w:t xml:space="preserve"> </w:t>
      </w:r>
      <w:r w:rsidR="000B45F7">
        <w:rPr>
          <w:lang w:val="en-US"/>
        </w:rPr>
        <w:t>as</w:t>
      </w:r>
      <w:proofErr w:type="gramEnd"/>
      <w:r w:rsidR="000B45F7">
        <w:rPr>
          <w:lang w:val="en-US"/>
        </w:rPr>
        <w:t xml:space="preserve"> is being highlighted by the current </w:t>
      </w:r>
      <w:r w:rsidR="00A11D39">
        <w:rPr>
          <w:lang w:val="en-US"/>
        </w:rPr>
        <w:t>Royal Commission Inquiry into A</w:t>
      </w:r>
      <w:r w:rsidR="000B45F7">
        <w:rPr>
          <w:lang w:val="en-US"/>
        </w:rPr>
        <w:t xml:space="preserve">buse in </w:t>
      </w:r>
      <w:r w:rsidR="00A11D39">
        <w:rPr>
          <w:lang w:val="en-US"/>
        </w:rPr>
        <w:t>C</w:t>
      </w:r>
      <w:r w:rsidR="000B45F7">
        <w:rPr>
          <w:lang w:val="en-US"/>
        </w:rPr>
        <w:t>are</w:t>
      </w:r>
      <w:r w:rsidR="00A11D39">
        <w:rPr>
          <w:rStyle w:val="FootnoteReference"/>
          <w:lang w:val="en-US"/>
        </w:rPr>
        <w:footnoteReference w:id="11"/>
      </w:r>
      <w:r w:rsidR="000B45F7">
        <w:rPr>
          <w:lang w:val="en-US"/>
        </w:rPr>
        <w:t xml:space="preserve"> inquiry.</w:t>
      </w:r>
      <w:r w:rsidR="0060187A">
        <w:rPr>
          <w:lang w:val="en-US"/>
        </w:rPr>
        <w:t xml:space="preserve"> Again, we see implementing the recommendations from this inquiry</w:t>
      </w:r>
      <w:r w:rsidR="00F3595C">
        <w:rPr>
          <w:lang w:val="en-US"/>
        </w:rPr>
        <w:t xml:space="preserve"> (both </w:t>
      </w:r>
      <w:r w:rsidR="00CD33BB">
        <w:rPr>
          <w:lang w:val="en-US"/>
        </w:rPr>
        <w:t xml:space="preserve">those </w:t>
      </w:r>
      <w:r w:rsidR="00F3595C">
        <w:rPr>
          <w:lang w:val="en-US"/>
        </w:rPr>
        <w:t>that have been made already in the inter</w:t>
      </w:r>
      <w:r w:rsidR="00CD33BB">
        <w:rPr>
          <w:lang w:val="en-US"/>
        </w:rPr>
        <w:t>i</w:t>
      </w:r>
      <w:r w:rsidR="00F3595C">
        <w:rPr>
          <w:lang w:val="en-US"/>
        </w:rPr>
        <w:t>m reports and the final recommendations) as a</w:t>
      </w:r>
      <w:r w:rsidR="0060187A">
        <w:rPr>
          <w:lang w:val="en-US"/>
        </w:rPr>
        <w:t xml:space="preserve"> fundamental </w:t>
      </w:r>
      <w:r w:rsidR="003A572B">
        <w:rPr>
          <w:lang w:val="en-US"/>
        </w:rPr>
        <w:t xml:space="preserve">part of building a strong social cohesion framework. </w:t>
      </w:r>
      <w:r w:rsidR="000B45F7">
        <w:rPr>
          <w:lang w:val="en-US"/>
        </w:rPr>
        <w:t xml:space="preserve"> </w:t>
      </w:r>
    </w:p>
    <w:p w14:paraId="09E3FBC1" w14:textId="77777777" w:rsidR="00182E07" w:rsidRPr="00182E07" w:rsidRDefault="00182E07" w:rsidP="28D026A7">
      <w:pPr>
        <w:rPr>
          <w:b/>
          <w:bCs/>
          <w:u w:val="single"/>
        </w:rPr>
      </w:pPr>
      <w:r w:rsidRPr="00182E07">
        <w:rPr>
          <w:b/>
          <w:bCs/>
          <w:u w:val="single"/>
        </w:rPr>
        <w:t xml:space="preserve">Comment on Principles for Social Cohesion. </w:t>
      </w:r>
    </w:p>
    <w:p w14:paraId="06837312" w14:textId="64B8BB40" w:rsidR="008772F0" w:rsidRPr="001A5B35" w:rsidRDefault="00D4520E" w:rsidP="28D026A7">
      <w:r>
        <w:t>Finally</w:t>
      </w:r>
      <w:r w:rsidR="00182E07">
        <w:t xml:space="preserve">, </w:t>
      </w:r>
      <w:r w:rsidR="28D026A7">
        <w:t xml:space="preserve">DPA </w:t>
      </w:r>
      <w:r w:rsidR="00182E07">
        <w:t>believes</w:t>
      </w:r>
      <w:r w:rsidR="00357B1D">
        <w:t xml:space="preserve"> that</w:t>
      </w:r>
      <w:r w:rsidR="28D026A7">
        <w:t xml:space="preserve"> that many of the principles that form the basis of Te </w:t>
      </w:r>
      <w:proofErr w:type="spellStart"/>
      <w:r w:rsidR="28D026A7">
        <w:t>Aorerekura</w:t>
      </w:r>
      <w:proofErr w:type="spellEnd"/>
      <w:r w:rsidR="28D026A7">
        <w:t xml:space="preserve"> </w:t>
      </w:r>
      <w:r w:rsidR="009A72D3">
        <w:t>( such as</w:t>
      </w:r>
      <w:r w:rsidR="009A72D3" w:rsidRPr="009A72D3">
        <w:rPr>
          <w:rFonts w:ascii="Montserrat" w:eastAsia="Times New Roman" w:hAnsi="Montserrat" w:cs="Times New Roman"/>
          <w:color w:val="212529"/>
          <w:szCs w:val="24"/>
          <w:lang w:val="en-US"/>
        </w:rPr>
        <w:t xml:space="preserve"> </w:t>
      </w:r>
      <w:r w:rsidR="009A72D3">
        <w:rPr>
          <w:lang w:val="en-US"/>
        </w:rPr>
        <w:t>p</w:t>
      </w:r>
      <w:r w:rsidR="009A72D3" w:rsidRPr="009A72D3">
        <w:rPr>
          <w:lang w:val="en-US"/>
        </w:rPr>
        <w:t>rioritising </w:t>
      </w:r>
      <w:r w:rsidR="009A72D3" w:rsidRPr="009A72D3">
        <w:rPr>
          <w:b/>
          <w:bCs/>
          <w:lang w:val="en-US"/>
        </w:rPr>
        <w:t>equity and inclusion</w:t>
      </w:r>
      <w:r w:rsidR="009A72D3" w:rsidRPr="009A72D3">
        <w:rPr>
          <w:lang w:val="en-US"/>
        </w:rPr>
        <w:t> in all spaces</w:t>
      </w:r>
      <w:r w:rsidR="009A72D3">
        <w:rPr>
          <w:lang w:val="en-US"/>
        </w:rPr>
        <w:t>)</w:t>
      </w:r>
      <w:r w:rsidR="009A72D3">
        <w:t xml:space="preserve"> </w:t>
      </w:r>
      <w:r w:rsidR="28D026A7">
        <w:t>and Enabling Good Lives</w:t>
      </w:r>
      <w:r w:rsidR="0051083E" w:rsidRPr="28D026A7">
        <w:rPr>
          <w:vertAlign w:val="superscript"/>
        </w:rPr>
        <w:footnoteReference w:id="12"/>
      </w:r>
      <w:r w:rsidR="28D026A7">
        <w:t xml:space="preserve">, (such as </w:t>
      </w:r>
      <w:r w:rsidR="28D026A7" w:rsidRPr="28D026A7">
        <w:rPr>
          <w:lang w:val="en-US"/>
        </w:rPr>
        <w:t xml:space="preserve">mana enhancing), </w:t>
      </w:r>
      <w:r w:rsidR="00182E07">
        <w:t>are</w:t>
      </w:r>
      <w:r w:rsidR="28D026A7">
        <w:t xml:space="preserve"> of relevance </w:t>
      </w:r>
      <w:r w:rsidR="00FB1114">
        <w:t xml:space="preserve">for building social cohesion. </w:t>
      </w:r>
      <w:r w:rsidR="004F0FE4">
        <w:t>Incorporating these principles will greatly help with</w:t>
      </w:r>
      <w:r w:rsidR="28D026A7">
        <w:t xml:space="preserve"> </w:t>
      </w:r>
      <w:r w:rsidR="00367352">
        <w:t>ensuring</w:t>
      </w:r>
      <w:r w:rsidR="28D026A7">
        <w:t xml:space="preserve"> a social cohesion framework that resonate</w:t>
      </w:r>
      <w:r w:rsidR="00367352">
        <w:t>s</w:t>
      </w:r>
      <w:r w:rsidR="28D026A7">
        <w:t xml:space="preserve"> for disabled people.</w:t>
      </w:r>
    </w:p>
    <w:p w14:paraId="42FDE3AB" w14:textId="3E10568F" w:rsidR="008772F0" w:rsidRPr="001A5B35" w:rsidRDefault="008772F0" w:rsidP="28D026A7">
      <w:pPr>
        <w:rPr>
          <w:rFonts w:eastAsia="SimSun"/>
          <w:szCs w:val="24"/>
          <w:lang w:val="en-US"/>
        </w:rPr>
      </w:pPr>
    </w:p>
    <w:sectPr w:rsidR="008772F0" w:rsidRPr="001A5B35" w:rsidSect="00634AEC">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9C64B" w14:textId="77777777" w:rsidR="00F941C4" w:rsidRDefault="00F941C4" w:rsidP="00634AEC">
      <w:pPr>
        <w:spacing w:after="0" w:line="240" w:lineRule="auto"/>
      </w:pPr>
      <w:r>
        <w:separator/>
      </w:r>
    </w:p>
  </w:endnote>
  <w:endnote w:type="continuationSeparator" w:id="0">
    <w:p w14:paraId="1E2FC643" w14:textId="77777777" w:rsidR="00F941C4" w:rsidRDefault="00F941C4" w:rsidP="00634AEC">
      <w:pPr>
        <w:spacing w:after="0" w:line="240" w:lineRule="auto"/>
      </w:pPr>
      <w:r>
        <w:continuationSeparator/>
      </w:r>
    </w:p>
  </w:endnote>
  <w:endnote w:type="continuationNotice" w:id="1">
    <w:p w14:paraId="0535E237" w14:textId="77777777" w:rsidR="00F941C4" w:rsidRDefault="00F94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B527" w14:textId="77777777" w:rsidR="00F941C4" w:rsidRDefault="00F941C4" w:rsidP="00634AEC">
      <w:pPr>
        <w:spacing w:after="0" w:line="240" w:lineRule="auto"/>
      </w:pPr>
      <w:r>
        <w:separator/>
      </w:r>
    </w:p>
  </w:footnote>
  <w:footnote w:type="continuationSeparator" w:id="0">
    <w:p w14:paraId="0E399ABE" w14:textId="77777777" w:rsidR="00F941C4" w:rsidRDefault="00F941C4" w:rsidP="00634AEC">
      <w:pPr>
        <w:spacing w:after="0" w:line="240" w:lineRule="auto"/>
      </w:pPr>
      <w:r>
        <w:continuationSeparator/>
      </w:r>
    </w:p>
  </w:footnote>
  <w:footnote w:type="continuationNotice" w:id="1">
    <w:p w14:paraId="2BE2592F" w14:textId="77777777" w:rsidR="00F941C4" w:rsidRDefault="00F941C4">
      <w:pPr>
        <w:spacing w:after="0" w:line="240" w:lineRule="auto"/>
      </w:pPr>
    </w:p>
  </w:footnote>
  <w:footnote w:id="2">
    <w:p w14:paraId="7341B823" w14:textId="77777777" w:rsidR="00D41897" w:rsidRDefault="00D41897" w:rsidP="00D41897">
      <w:pPr>
        <w:pStyle w:val="FootnoteText"/>
      </w:pPr>
      <w:r>
        <w:rPr>
          <w:rStyle w:val="FootnoteReference"/>
        </w:rPr>
        <w:footnoteRef/>
      </w:r>
      <w:r>
        <w:t xml:space="preserve"> </w:t>
      </w:r>
      <w:hyperlink r:id="rId1" w:history="1">
        <w:r w:rsidRPr="00FE4D57">
          <w:rPr>
            <w:rStyle w:val="Hyperlink"/>
          </w:rPr>
          <w:t>http://www.inequality.org.nz/understand/</w:t>
        </w:r>
      </w:hyperlink>
    </w:p>
    <w:p w14:paraId="3B420742" w14:textId="77777777" w:rsidR="00D41897" w:rsidRPr="000233FE" w:rsidRDefault="00D41897" w:rsidP="00D41897">
      <w:pPr>
        <w:pStyle w:val="FootnoteText"/>
        <w:rPr>
          <w:lang w:val="en-AU"/>
        </w:rPr>
      </w:pPr>
    </w:p>
  </w:footnote>
  <w:footnote w:id="3">
    <w:p w14:paraId="517ACF42" w14:textId="77777777" w:rsidR="00030EB2" w:rsidRDefault="00030EB2" w:rsidP="00030EB2">
      <w:pPr>
        <w:pStyle w:val="FootnoteText"/>
        <w:rPr>
          <w:lang w:val="en-AU"/>
        </w:rPr>
      </w:pPr>
      <w:r>
        <w:rPr>
          <w:rStyle w:val="FootnoteReference"/>
        </w:rPr>
        <w:footnoteRef/>
      </w:r>
      <w:r>
        <w:t xml:space="preserve"> </w:t>
      </w:r>
      <w:hyperlink r:id="rId2" w:history="1">
        <w:r w:rsidRPr="007A312F">
          <w:rPr>
            <w:rStyle w:val="Hyperlink"/>
          </w:rPr>
          <w:t>Child poverty statistics for households with disabled people released for the first time | Stats NZ</w:t>
        </w:r>
      </w:hyperlink>
    </w:p>
    <w:p w14:paraId="6F6DEE57" w14:textId="77777777" w:rsidR="00030EB2" w:rsidRPr="00D64683" w:rsidRDefault="00030EB2" w:rsidP="00030EB2">
      <w:pPr>
        <w:pStyle w:val="FootnoteText"/>
        <w:rPr>
          <w:lang w:val="en-AU"/>
        </w:rPr>
      </w:pPr>
    </w:p>
  </w:footnote>
  <w:footnote w:id="4">
    <w:p w14:paraId="675D77DD" w14:textId="77777777" w:rsidR="00030EB2" w:rsidRDefault="00030EB2" w:rsidP="00030EB2">
      <w:pPr>
        <w:pStyle w:val="FootnoteText"/>
      </w:pPr>
      <w:r>
        <w:rPr>
          <w:rStyle w:val="FootnoteReference"/>
        </w:rPr>
        <w:footnoteRef/>
      </w:r>
      <w:r>
        <w:t xml:space="preserve"> </w:t>
      </w:r>
      <w:hyperlink r:id="rId3" w:history="1">
        <w:r w:rsidRPr="00FE4D57">
          <w:rPr>
            <w:rStyle w:val="Hyperlink"/>
          </w:rPr>
          <w:t>https://ccsdisabilityaction.org.nz/assets/resource-files/The-State-of-wellbeing-and-equality-FINAL-ONLINE.pdf</w:t>
        </w:r>
      </w:hyperlink>
    </w:p>
    <w:p w14:paraId="07CC47A9" w14:textId="77777777" w:rsidR="00030EB2" w:rsidRPr="0053008A" w:rsidRDefault="00030EB2" w:rsidP="00030EB2">
      <w:pPr>
        <w:pStyle w:val="FootnoteText"/>
        <w:rPr>
          <w:lang w:val="en-AU"/>
        </w:rPr>
      </w:pPr>
    </w:p>
  </w:footnote>
  <w:footnote w:id="5">
    <w:p w14:paraId="42E5C0DD" w14:textId="77777777" w:rsidR="00030EB2" w:rsidRPr="003774EE" w:rsidRDefault="00030EB2" w:rsidP="00030EB2">
      <w:pPr>
        <w:pStyle w:val="FootnoteText"/>
        <w:rPr>
          <w:lang w:val="en-AU"/>
        </w:rPr>
      </w:pPr>
    </w:p>
  </w:footnote>
  <w:footnote w:id="6">
    <w:p w14:paraId="34E0894F" w14:textId="312FF2E3" w:rsidR="00AE46B4" w:rsidRPr="00AE46B4" w:rsidRDefault="00AE46B4">
      <w:pPr>
        <w:pStyle w:val="FootnoteText"/>
        <w:rPr>
          <w:lang w:val="en-AU"/>
        </w:rPr>
      </w:pPr>
      <w:r>
        <w:rPr>
          <w:rStyle w:val="FootnoteReference"/>
        </w:rPr>
        <w:footnoteRef/>
      </w:r>
      <w:r>
        <w:t xml:space="preserve"> </w:t>
      </w:r>
      <w:hyperlink r:id="rId4" w:history="1">
        <w:r w:rsidRPr="00AE46B4">
          <w:rPr>
            <w:rStyle w:val="Hyperlink"/>
            <w:lang w:val="en-NZ"/>
          </w:rPr>
          <w:t>How a loss of trust has fed the divisions in society | Stuff.co.nz</w:t>
        </w:r>
      </w:hyperlink>
    </w:p>
  </w:footnote>
  <w:footnote w:id="7">
    <w:p w14:paraId="69C7A820" w14:textId="001B98B6" w:rsidR="00823884" w:rsidRDefault="00823884">
      <w:pPr>
        <w:pStyle w:val="FootnoteText"/>
      </w:pPr>
      <w:r>
        <w:rPr>
          <w:rStyle w:val="FootnoteReference"/>
        </w:rPr>
        <w:footnoteRef/>
      </w:r>
      <w:r>
        <w:t xml:space="preserve"> </w:t>
      </w:r>
      <w:hyperlink r:id="rId5" w:history="1">
        <w:r w:rsidR="004F56D1" w:rsidRPr="00AB2136">
          <w:rPr>
            <w:rStyle w:val="Hyperlink"/>
          </w:rPr>
          <w:t>https://www.dpa.org.nz/store/doc/Post-Election-2020-Briefing-For-MPs.docx</w:t>
        </w:r>
      </w:hyperlink>
    </w:p>
    <w:p w14:paraId="11CC1DEF" w14:textId="77777777" w:rsidR="004F56D1" w:rsidRPr="00823884" w:rsidRDefault="004F56D1">
      <w:pPr>
        <w:pStyle w:val="FootnoteText"/>
        <w:rPr>
          <w:lang w:val="en-AU"/>
        </w:rPr>
      </w:pPr>
    </w:p>
  </w:footnote>
  <w:footnote w:id="8">
    <w:p w14:paraId="146412AE" w14:textId="77777777" w:rsidR="007771A8" w:rsidRPr="00D4359B" w:rsidRDefault="00B909A2">
      <w:pPr>
        <w:pStyle w:val="FootnoteText"/>
        <w:rPr>
          <w:sz w:val="22"/>
          <w:szCs w:val="22"/>
          <w:lang w:val="en-NZ"/>
        </w:rPr>
      </w:pPr>
      <w:r w:rsidRPr="00D4359B">
        <w:rPr>
          <w:rStyle w:val="FootnoteReference"/>
          <w:sz w:val="22"/>
          <w:szCs w:val="22"/>
        </w:rPr>
        <w:footnoteRef/>
      </w:r>
      <w:r w:rsidRPr="00D4359B">
        <w:rPr>
          <w:sz w:val="22"/>
          <w:szCs w:val="22"/>
        </w:rPr>
        <w:t xml:space="preserve"> </w:t>
      </w:r>
      <w:r w:rsidRPr="00D4359B">
        <w:rPr>
          <w:sz w:val="22"/>
          <w:szCs w:val="22"/>
          <w:lang w:val="en-NZ"/>
        </w:rPr>
        <w:t xml:space="preserve">NZCVS-Cycle3-A5-20210611-v1.0-fin.pdf (justice.govt.nz) </w:t>
      </w:r>
    </w:p>
    <w:p w14:paraId="5E7D4796" w14:textId="2817A8A1" w:rsidR="00B909A2" w:rsidRPr="00D4359B" w:rsidRDefault="00B909A2">
      <w:pPr>
        <w:pStyle w:val="FootnoteText"/>
        <w:rPr>
          <w:sz w:val="22"/>
          <w:szCs w:val="22"/>
          <w:lang w:val="en-AU"/>
        </w:rPr>
      </w:pPr>
    </w:p>
  </w:footnote>
  <w:footnote w:id="9">
    <w:p w14:paraId="706CC3BE" w14:textId="6D573B25" w:rsidR="00CC6965" w:rsidRPr="00067A93" w:rsidRDefault="00CC6965">
      <w:pPr>
        <w:pStyle w:val="FootnoteText"/>
        <w:rPr>
          <w:sz w:val="22"/>
          <w:szCs w:val="22"/>
          <w:lang w:val="en-AU"/>
        </w:rPr>
      </w:pPr>
      <w:r w:rsidRPr="00D4359B">
        <w:rPr>
          <w:rStyle w:val="FootnoteReference"/>
          <w:sz w:val="22"/>
          <w:szCs w:val="22"/>
        </w:rPr>
        <w:footnoteRef/>
      </w:r>
      <w:r w:rsidRPr="00D4359B">
        <w:rPr>
          <w:sz w:val="22"/>
          <w:szCs w:val="22"/>
        </w:rPr>
        <w:t xml:space="preserve"> </w:t>
      </w:r>
      <w:hyperlink r:id="rId6" w:history="1">
        <w:r w:rsidRPr="00067A93">
          <w:rPr>
            <w:color w:val="0000FF"/>
            <w:sz w:val="22"/>
            <w:szCs w:val="22"/>
            <w:u w:val="single"/>
            <w:lang w:val="en-NZ"/>
          </w:rPr>
          <w:t>Disabled adults more than 50 per cent more likely to suffer sexual violence in New Zealand - NZ Herald</w:t>
        </w:r>
      </w:hyperlink>
    </w:p>
  </w:footnote>
  <w:footnote w:id="10">
    <w:p w14:paraId="79CC3D24" w14:textId="6A46166E" w:rsidR="002D2AFA" w:rsidRPr="00067A93" w:rsidRDefault="002D2AFA">
      <w:pPr>
        <w:pStyle w:val="FootnoteText"/>
        <w:rPr>
          <w:sz w:val="22"/>
          <w:szCs w:val="22"/>
          <w:lang w:val="en-AU"/>
        </w:rPr>
      </w:pPr>
      <w:r w:rsidRPr="00067A93">
        <w:rPr>
          <w:rStyle w:val="FootnoteReference"/>
          <w:sz w:val="22"/>
          <w:szCs w:val="22"/>
        </w:rPr>
        <w:footnoteRef/>
      </w:r>
      <w:r w:rsidRPr="00067A93">
        <w:rPr>
          <w:sz w:val="22"/>
          <w:szCs w:val="22"/>
        </w:rPr>
        <w:t xml:space="preserve"> </w:t>
      </w:r>
      <w:hyperlink r:id="rId7" w:history="1">
        <w:r w:rsidRPr="00067A93">
          <w:rPr>
            <w:color w:val="0000FF"/>
            <w:sz w:val="22"/>
            <w:szCs w:val="22"/>
            <w:u w:val="single"/>
            <w:lang w:val="en-NZ"/>
          </w:rPr>
          <w:t>National Strategy to Eliminate Family Violence and Sexual Violence | Violence Free NZ</w:t>
        </w:r>
      </w:hyperlink>
    </w:p>
  </w:footnote>
  <w:footnote w:id="11">
    <w:p w14:paraId="77205D3B" w14:textId="64740C3A" w:rsidR="00A11D39" w:rsidRPr="00067A93" w:rsidRDefault="00A11D39">
      <w:pPr>
        <w:pStyle w:val="FootnoteText"/>
        <w:rPr>
          <w:sz w:val="22"/>
          <w:szCs w:val="22"/>
          <w:lang w:val="en-AU"/>
        </w:rPr>
      </w:pPr>
      <w:r w:rsidRPr="00067A93">
        <w:rPr>
          <w:rStyle w:val="FootnoteReference"/>
          <w:sz w:val="22"/>
          <w:szCs w:val="22"/>
        </w:rPr>
        <w:footnoteRef/>
      </w:r>
      <w:r w:rsidRPr="00067A93">
        <w:rPr>
          <w:sz w:val="22"/>
          <w:szCs w:val="22"/>
        </w:rPr>
        <w:t xml:space="preserve"> </w:t>
      </w:r>
      <w:hyperlink r:id="rId8" w:history="1">
        <w:r w:rsidRPr="00067A93">
          <w:rPr>
            <w:rStyle w:val="Hyperlink"/>
            <w:sz w:val="22"/>
            <w:szCs w:val="22"/>
            <w:lang w:val="en-NZ"/>
          </w:rPr>
          <w:t>Home | Abuse in Care - Royal Commission of Inquiry</w:t>
        </w:r>
      </w:hyperlink>
    </w:p>
  </w:footnote>
  <w:footnote w:id="12">
    <w:p w14:paraId="0CD4D81C" w14:textId="5EC8603D" w:rsidR="28D026A7" w:rsidRPr="00067A93" w:rsidRDefault="28D026A7" w:rsidP="28D026A7">
      <w:pPr>
        <w:pStyle w:val="FootnoteText"/>
        <w:rPr>
          <w:sz w:val="22"/>
          <w:szCs w:val="22"/>
        </w:rPr>
      </w:pPr>
      <w:r w:rsidRPr="00067A93">
        <w:rPr>
          <w:rStyle w:val="FootnoteReference"/>
          <w:sz w:val="22"/>
          <w:szCs w:val="22"/>
        </w:rPr>
        <w:footnoteRef/>
      </w:r>
      <w:r w:rsidRPr="00067A93">
        <w:rPr>
          <w:sz w:val="22"/>
          <w:szCs w:val="22"/>
        </w:rPr>
        <w:t xml:space="preserve"> </w:t>
      </w:r>
      <w:hyperlink r:id="rId9">
        <w:r w:rsidRPr="00067A93">
          <w:rPr>
            <w:rStyle w:val="Hyperlink"/>
            <w:sz w:val="22"/>
            <w:szCs w:val="22"/>
            <w:lang w:val="en-NZ"/>
          </w:rPr>
          <w:t>Principles - Enabling Good Lives</w:t>
        </w:r>
      </w:hyperlink>
    </w:p>
    <w:p w14:paraId="6698751F" w14:textId="77777777" w:rsidR="28D026A7" w:rsidRDefault="28D026A7" w:rsidP="28D026A7">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3" type="#_x0000_t75" style="width:37.5pt;height:26.2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0A511D8"/>
    <w:multiLevelType w:val="multilevel"/>
    <w:tmpl w:val="659C9C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296434"/>
    <w:multiLevelType w:val="multilevel"/>
    <w:tmpl w:val="D1F09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4A3674"/>
    <w:multiLevelType w:val="hybridMultilevel"/>
    <w:tmpl w:val="2A8C95FC"/>
    <w:lvl w:ilvl="0" w:tplc="73FCEDFE">
      <w:start w:val="1"/>
      <w:numFmt w:val="bullet"/>
      <w:lvlText w:val=""/>
      <w:lvlPicBulletId w:val="0"/>
      <w:lvlJc w:val="left"/>
      <w:pPr>
        <w:tabs>
          <w:tab w:val="num" w:pos="720"/>
        </w:tabs>
        <w:ind w:left="720" w:hanging="360"/>
      </w:pPr>
      <w:rPr>
        <w:rFonts w:ascii="Symbol" w:hAnsi="Symbol"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6CE6752E"/>
    <w:multiLevelType w:val="hybridMultilevel"/>
    <w:tmpl w:val="8E88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2"/>
  </w:num>
  <w:num w:numId="5">
    <w:abstractNumId w:val="16"/>
  </w:num>
  <w:num w:numId="6">
    <w:abstractNumId w:val="3"/>
  </w:num>
  <w:num w:numId="7">
    <w:abstractNumId w:val="10"/>
  </w:num>
  <w:num w:numId="8">
    <w:abstractNumId w:val="11"/>
  </w:num>
  <w:num w:numId="9">
    <w:abstractNumId w:val="9"/>
  </w:num>
  <w:num w:numId="10">
    <w:abstractNumId w:val="15"/>
  </w:num>
  <w:num w:numId="11">
    <w:abstractNumId w:val="14"/>
  </w:num>
  <w:num w:numId="12">
    <w:abstractNumId w:val="0"/>
  </w:num>
  <w:num w:numId="13">
    <w:abstractNumId w:val="12"/>
  </w:num>
  <w:num w:numId="14">
    <w:abstractNumId w:val="7"/>
  </w:num>
  <w:num w:numId="15">
    <w:abstractNumId w:val="5"/>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2110"/>
    <w:rsid w:val="0000574F"/>
    <w:rsid w:val="000114D3"/>
    <w:rsid w:val="00013645"/>
    <w:rsid w:val="00015783"/>
    <w:rsid w:val="000230E8"/>
    <w:rsid w:val="0002384E"/>
    <w:rsid w:val="000253F9"/>
    <w:rsid w:val="00030076"/>
    <w:rsid w:val="00030EB2"/>
    <w:rsid w:val="00031D27"/>
    <w:rsid w:val="00036320"/>
    <w:rsid w:val="00045350"/>
    <w:rsid w:val="00047C66"/>
    <w:rsid w:val="00051A6D"/>
    <w:rsid w:val="000533B3"/>
    <w:rsid w:val="00067A93"/>
    <w:rsid w:val="00093BF6"/>
    <w:rsid w:val="00095470"/>
    <w:rsid w:val="000A32F1"/>
    <w:rsid w:val="000A33E1"/>
    <w:rsid w:val="000B1D28"/>
    <w:rsid w:val="000B45F7"/>
    <w:rsid w:val="000B5A6B"/>
    <w:rsid w:val="000B77BD"/>
    <w:rsid w:val="000C2A3A"/>
    <w:rsid w:val="000C59A1"/>
    <w:rsid w:val="000D60C0"/>
    <w:rsid w:val="000E098C"/>
    <w:rsid w:val="000E6534"/>
    <w:rsid w:val="0010065D"/>
    <w:rsid w:val="00107484"/>
    <w:rsid w:val="00107E24"/>
    <w:rsid w:val="0011072F"/>
    <w:rsid w:val="001118E0"/>
    <w:rsid w:val="00113F08"/>
    <w:rsid w:val="00133092"/>
    <w:rsid w:val="00134912"/>
    <w:rsid w:val="00137D0A"/>
    <w:rsid w:val="001401BE"/>
    <w:rsid w:val="0014158A"/>
    <w:rsid w:val="00146439"/>
    <w:rsid w:val="001670EA"/>
    <w:rsid w:val="0017025B"/>
    <w:rsid w:val="0018000C"/>
    <w:rsid w:val="001806B0"/>
    <w:rsid w:val="00182E07"/>
    <w:rsid w:val="001837C9"/>
    <w:rsid w:val="00185A58"/>
    <w:rsid w:val="00191832"/>
    <w:rsid w:val="00195615"/>
    <w:rsid w:val="001A3927"/>
    <w:rsid w:val="001A5B35"/>
    <w:rsid w:val="001A63C9"/>
    <w:rsid w:val="001A683C"/>
    <w:rsid w:val="001B734D"/>
    <w:rsid w:val="001C0434"/>
    <w:rsid w:val="001C4729"/>
    <w:rsid w:val="001C51BD"/>
    <w:rsid w:val="001D2765"/>
    <w:rsid w:val="001D29F1"/>
    <w:rsid w:val="001E5A22"/>
    <w:rsid w:val="001F4AE5"/>
    <w:rsid w:val="00200AB4"/>
    <w:rsid w:val="00213391"/>
    <w:rsid w:val="00214B50"/>
    <w:rsid w:val="002257A6"/>
    <w:rsid w:val="0022648B"/>
    <w:rsid w:val="002301ED"/>
    <w:rsid w:val="00234512"/>
    <w:rsid w:val="002427E2"/>
    <w:rsid w:val="002510F6"/>
    <w:rsid w:val="00252A79"/>
    <w:rsid w:val="00255576"/>
    <w:rsid w:val="00271CBD"/>
    <w:rsid w:val="002748BB"/>
    <w:rsid w:val="002750B2"/>
    <w:rsid w:val="00275D0A"/>
    <w:rsid w:val="00275D6E"/>
    <w:rsid w:val="0027655D"/>
    <w:rsid w:val="00280EEA"/>
    <w:rsid w:val="002864DF"/>
    <w:rsid w:val="002A3D3D"/>
    <w:rsid w:val="002B41D0"/>
    <w:rsid w:val="002C0869"/>
    <w:rsid w:val="002C6692"/>
    <w:rsid w:val="002D0BCE"/>
    <w:rsid w:val="002D2AFA"/>
    <w:rsid w:val="002D40AC"/>
    <w:rsid w:val="002D52BE"/>
    <w:rsid w:val="002D686B"/>
    <w:rsid w:val="002E0071"/>
    <w:rsid w:val="002E4358"/>
    <w:rsid w:val="002F0958"/>
    <w:rsid w:val="002F422B"/>
    <w:rsid w:val="00315995"/>
    <w:rsid w:val="003309D8"/>
    <w:rsid w:val="003322B4"/>
    <w:rsid w:val="00334433"/>
    <w:rsid w:val="0033464E"/>
    <w:rsid w:val="0033542D"/>
    <w:rsid w:val="00357B1D"/>
    <w:rsid w:val="0036258A"/>
    <w:rsid w:val="00367352"/>
    <w:rsid w:val="00374698"/>
    <w:rsid w:val="0037505E"/>
    <w:rsid w:val="00376117"/>
    <w:rsid w:val="00386CD7"/>
    <w:rsid w:val="0038753D"/>
    <w:rsid w:val="0039004F"/>
    <w:rsid w:val="00396CB7"/>
    <w:rsid w:val="003A572B"/>
    <w:rsid w:val="003B0C58"/>
    <w:rsid w:val="003B154D"/>
    <w:rsid w:val="003B3DF5"/>
    <w:rsid w:val="003C4949"/>
    <w:rsid w:val="003D3373"/>
    <w:rsid w:val="003D51C1"/>
    <w:rsid w:val="003E3C38"/>
    <w:rsid w:val="003F412D"/>
    <w:rsid w:val="00406C48"/>
    <w:rsid w:val="00412627"/>
    <w:rsid w:val="00417EB1"/>
    <w:rsid w:val="00420086"/>
    <w:rsid w:val="00422A0D"/>
    <w:rsid w:val="00431D27"/>
    <w:rsid w:val="00434A21"/>
    <w:rsid w:val="00446A95"/>
    <w:rsid w:val="004600A7"/>
    <w:rsid w:val="004627A0"/>
    <w:rsid w:val="00483A06"/>
    <w:rsid w:val="00497EB8"/>
    <w:rsid w:val="004A0B5F"/>
    <w:rsid w:val="004A18DD"/>
    <w:rsid w:val="004C3D22"/>
    <w:rsid w:val="004D53A5"/>
    <w:rsid w:val="004D7704"/>
    <w:rsid w:val="004E086A"/>
    <w:rsid w:val="004F0FE4"/>
    <w:rsid w:val="004F2FCD"/>
    <w:rsid w:val="004F56D1"/>
    <w:rsid w:val="005012FE"/>
    <w:rsid w:val="00501AB4"/>
    <w:rsid w:val="0051083E"/>
    <w:rsid w:val="0051199A"/>
    <w:rsid w:val="005174CE"/>
    <w:rsid w:val="00520575"/>
    <w:rsid w:val="005244AE"/>
    <w:rsid w:val="005255B7"/>
    <w:rsid w:val="00534749"/>
    <w:rsid w:val="00544270"/>
    <w:rsid w:val="00546894"/>
    <w:rsid w:val="00547874"/>
    <w:rsid w:val="00562E74"/>
    <w:rsid w:val="00587C7D"/>
    <w:rsid w:val="00593DE2"/>
    <w:rsid w:val="005A76E1"/>
    <w:rsid w:val="005B3020"/>
    <w:rsid w:val="005C0346"/>
    <w:rsid w:val="005C2088"/>
    <w:rsid w:val="005E0348"/>
    <w:rsid w:val="005E09A0"/>
    <w:rsid w:val="005E7CAE"/>
    <w:rsid w:val="005F019E"/>
    <w:rsid w:val="0060187A"/>
    <w:rsid w:val="0060302E"/>
    <w:rsid w:val="006079C0"/>
    <w:rsid w:val="00612023"/>
    <w:rsid w:val="00616F32"/>
    <w:rsid w:val="00617B71"/>
    <w:rsid w:val="00626DE9"/>
    <w:rsid w:val="00634AEC"/>
    <w:rsid w:val="00636C84"/>
    <w:rsid w:val="0065604C"/>
    <w:rsid w:val="00656A44"/>
    <w:rsid w:val="006624CE"/>
    <w:rsid w:val="00662D2E"/>
    <w:rsid w:val="0066710F"/>
    <w:rsid w:val="00670B18"/>
    <w:rsid w:val="006710D5"/>
    <w:rsid w:val="0068096A"/>
    <w:rsid w:val="00683542"/>
    <w:rsid w:val="0068535B"/>
    <w:rsid w:val="00685A83"/>
    <w:rsid w:val="006A643D"/>
    <w:rsid w:val="006B054C"/>
    <w:rsid w:val="006B5018"/>
    <w:rsid w:val="006B633C"/>
    <w:rsid w:val="006D416F"/>
    <w:rsid w:val="006E413E"/>
    <w:rsid w:val="006E6A96"/>
    <w:rsid w:val="006E7F38"/>
    <w:rsid w:val="006F591C"/>
    <w:rsid w:val="006F6A31"/>
    <w:rsid w:val="00700885"/>
    <w:rsid w:val="00703BC5"/>
    <w:rsid w:val="007247B9"/>
    <w:rsid w:val="00725B5E"/>
    <w:rsid w:val="00731BB5"/>
    <w:rsid w:val="007431DB"/>
    <w:rsid w:val="007656DB"/>
    <w:rsid w:val="00771A3C"/>
    <w:rsid w:val="00775532"/>
    <w:rsid w:val="007771A8"/>
    <w:rsid w:val="00790293"/>
    <w:rsid w:val="007928EF"/>
    <w:rsid w:val="007A5D60"/>
    <w:rsid w:val="007B4A88"/>
    <w:rsid w:val="007B5373"/>
    <w:rsid w:val="007B6AD5"/>
    <w:rsid w:val="007C11A1"/>
    <w:rsid w:val="007C5886"/>
    <w:rsid w:val="007D469F"/>
    <w:rsid w:val="007E06ED"/>
    <w:rsid w:val="007F251E"/>
    <w:rsid w:val="007F6234"/>
    <w:rsid w:val="008109F3"/>
    <w:rsid w:val="00812841"/>
    <w:rsid w:val="00816991"/>
    <w:rsid w:val="00823884"/>
    <w:rsid w:val="00823BF7"/>
    <w:rsid w:val="00832EF2"/>
    <w:rsid w:val="0083732F"/>
    <w:rsid w:val="008376F1"/>
    <w:rsid w:val="008443CB"/>
    <w:rsid w:val="0084643E"/>
    <w:rsid w:val="00846A7B"/>
    <w:rsid w:val="00851ABD"/>
    <w:rsid w:val="008575DA"/>
    <w:rsid w:val="008649CA"/>
    <w:rsid w:val="008742ED"/>
    <w:rsid w:val="008772F0"/>
    <w:rsid w:val="00892591"/>
    <w:rsid w:val="008955FB"/>
    <w:rsid w:val="008A6EA0"/>
    <w:rsid w:val="008B35B8"/>
    <w:rsid w:val="008B39A9"/>
    <w:rsid w:val="008B7F44"/>
    <w:rsid w:val="008C3BEF"/>
    <w:rsid w:val="008C5A54"/>
    <w:rsid w:val="008E27E2"/>
    <w:rsid w:val="008E541D"/>
    <w:rsid w:val="009017DB"/>
    <w:rsid w:val="00902171"/>
    <w:rsid w:val="009039F8"/>
    <w:rsid w:val="009140EA"/>
    <w:rsid w:val="009178DB"/>
    <w:rsid w:val="00917E74"/>
    <w:rsid w:val="00921D00"/>
    <w:rsid w:val="0092286D"/>
    <w:rsid w:val="00922F63"/>
    <w:rsid w:val="009475EC"/>
    <w:rsid w:val="009514A6"/>
    <w:rsid w:val="00953608"/>
    <w:rsid w:val="00954C5A"/>
    <w:rsid w:val="00955148"/>
    <w:rsid w:val="00956275"/>
    <w:rsid w:val="0096360D"/>
    <w:rsid w:val="009637A2"/>
    <w:rsid w:val="0096757B"/>
    <w:rsid w:val="00970561"/>
    <w:rsid w:val="00980196"/>
    <w:rsid w:val="00980ACE"/>
    <w:rsid w:val="0098203B"/>
    <w:rsid w:val="0098265E"/>
    <w:rsid w:val="0098737D"/>
    <w:rsid w:val="009923BC"/>
    <w:rsid w:val="00997EF2"/>
    <w:rsid w:val="009A72D3"/>
    <w:rsid w:val="009B08C7"/>
    <w:rsid w:val="009B6EE7"/>
    <w:rsid w:val="009B738D"/>
    <w:rsid w:val="009C25EE"/>
    <w:rsid w:val="009C5CD4"/>
    <w:rsid w:val="009C6188"/>
    <w:rsid w:val="009C7FCF"/>
    <w:rsid w:val="009E1825"/>
    <w:rsid w:val="009F43CD"/>
    <w:rsid w:val="00A04015"/>
    <w:rsid w:val="00A11D39"/>
    <w:rsid w:val="00A12510"/>
    <w:rsid w:val="00A13E2E"/>
    <w:rsid w:val="00A157D0"/>
    <w:rsid w:val="00A17FC6"/>
    <w:rsid w:val="00A24E12"/>
    <w:rsid w:val="00A2709C"/>
    <w:rsid w:val="00A272AB"/>
    <w:rsid w:val="00A378EA"/>
    <w:rsid w:val="00A42932"/>
    <w:rsid w:val="00A44CCB"/>
    <w:rsid w:val="00A54195"/>
    <w:rsid w:val="00A56B38"/>
    <w:rsid w:val="00A56F67"/>
    <w:rsid w:val="00A67D69"/>
    <w:rsid w:val="00A76CE2"/>
    <w:rsid w:val="00A77DD5"/>
    <w:rsid w:val="00A80956"/>
    <w:rsid w:val="00A817CD"/>
    <w:rsid w:val="00A85F09"/>
    <w:rsid w:val="00A90487"/>
    <w:rsid w:val="00A9628F"/>
    <w:rsid w:val="00AA7CBB"/>
    <w:rsid w:val="00AB2082"/>
    <w:rsid w:val="00AB678F"/>
    <w:rsid w:val="00AC7B1F"/>
    <w:rsid w:val="00AC7F10"/>
    <w:rsid w:val="00AD097B"/>
    <w:rsid w:val="00AD7844"/>
    <w:rsid w:val="00AE3B92"/>
    <w:rsid w:val="00AE46B4"/>
    <w:rsid w:val="00B00392"/>
    <w:rsid w:val="00B04161"/>
    <w:rsid w:val="00B107B4"/>
    <w:rsid w:val="00B3467F"/>
    <w:rsid w:val="00B35014"/>
    <w:rsid w:val="00B40974"/>
    <w:rsid w:val="00B50D61"/>
    <w:rsid w:val="00B72724"/>
    <w:rsid w:val="00B7383C"/>
    <w:rsid w:val="00B819EB"/>
    <w:rsid w:val="00B860D6"/>
    <w:rsid w:val="00B86317"/>
    <w:rsid w:val="00B86C67"/>
    <w:rsid w:val="00B909A2"/>
    <w:rsid w:val="00B94464"/>
    <w:rsid w:val="00B9746B"/>
    <w:rsid w:val="00BA20FB"/>
    <w:rsid w:val="00BA64AF"/>
    <w:rsid w:val="00BC1629"/>
    <w:rsid w:val="00BC371F"/>
    <w:rsid w:val="00BD1F8A"/>
    <w:rsid w:val="00BE46F8"/>
    <w:rsid w:val="00BF1B1D"/>
    <w:rsid w:val="00BF7175"/>
    <w:rsid w:val="00C06278"/>
    <w:rsid w:val="00C132C1"/>
    <w:rsid w:val="00C16EA9"/>
    <w:rsid w:val="00C20D4D"/>
    <w:rsid w:val="00C236BB"/>
    <w:rsid w:val="00C23CCD"/>
    <w:rsid w:val="00C3131E"/>
    <w:rsid w:val="00C319A0"/>
    <w:rsid w:val="00C33568"/>
    <w:rsid w:val="00C410E2"/>
    <w:rsid w:val="00C44527"/>
    <w:rsid w:val="00C473F0"/>
    <w:rsid w:val="00C53843"/>
    <w:rsid w:val="00C55322"/>
    <w:rsid w:val="00C633C9"/>
    <w:rsid w:val="00C63535"/>
    <w:rsid w:val="00C64FFB"/>
    <w:rsid w:val="00C66275"/>
    <w:rsid w:val="00C85205"/>
    <w:rsid w:val="00C85C51"/>
    <w:rsid w:val="00C92B04"/>
    <w:rsid w:val="00CA77FF"/>
    <w:rsid w:val="00CC3AEB"/>
    <w:rsid w:val="00CC6965"/>
    <w:rsid w:val="00CC7D94"/>
    <w:rsid w:val="00CD1230"/>
    <w:rsid w:val="00CD33BB"/>
    <w:rsid w:val="00CD4578"/>
    <w:rsid w:val="00CD6EE6"/>
    <w:rsid w:val="00CE200E"/>
    <w:rsid w:val="00CF0064"/>
    <w:rsid w:val="00CF0CEA"/>
    <w:rsid w:val="00D0678F"/>
    <w:rsid w:val="00D0729B"/>
    <w:rsid w:val="00D11BCC"/>
    <w:rsid w:val="00D2076D"/>
    <w:rsid w:val="00D230E4"/>
    <w:rsid w:val="00D233C4"/>
    <w:rsid w:val="00D252D7"/>
    <w:rsid w:val="00D26396"/>
    <w:rsid w:val="00D341C2"/>
    <w:rsid w:val="00D375DF"/>
    <w:rsid w:val="00D41897"/>
    <w:rsid w:val="00D4359B"/>
    <w:rsid w:val="00D451C5"/>
    <w:rsid w:val="00D4520E"/>
    <w:rsid w:val="00D51921"/>
    <w:rsid w:val="00D6214D"/>
    <w:rsid w:val="00D62A49"/>
    <w:rsid w:val="00D91887"/>
    <w:rsid w:val="00D95246"/>
    <w:rsid w:val="00DA1EEF"/>
    <w:rsid w:val="00DB4DD6"/>
    <w:rsid w:val="00DD2127"/>
    <w:rsid w:val="00E017E6"/>
    <w:rsid w:val="00E0554B"/>
    <w:rsid w:val="00E121D0"/>
    <w:rsid w:val="00E13065"/>
    <w:rsid w:val="00E17125"/>
    <w:rsid w:val="00E25AC0"/>
    <w:rsid w:val="00E2655E"/>
    <w:rsid w:val="00E33023"/>
    <w:rsid w:val="00E47342"/>
    <w:rsid w:val="00E47BC9"/>
    <w:rsid w:val="00E53192"/>
    <w:rsid w:val="00E54B11"/>
    <w:rsid w:val="00E5783A"/>
    <w:rsid w:val="00E63F31"/>
    <w:rsid w:val="00E65567"/>
    <w:rsid w:val="00E67CFC"/>
    <w:rsid w:val="00E70E28"/>
    <w:rsid w:val="00E74B15"/>
    <w:rsid w:val="00E9298B"/>
    <w:rsid w:val="00EA7AD5"/>
    <w:rsid w:val="00EB17E7"/>
    <w:rsid w:val="00EB68DD"/>
    <w:rsid w:val="00EC6AD9"/>
    <w:rsid w:val="00EC7A6F"/>
    <w:rsid w:val="00ED2A11"/>
    <w:rsid w:val="00EE2B63"/>
    <w:rsid w:val="00EE4E1D"/>
    <w:rsid w:val="00EE6ACB"/>
    <w:rsid w:val="00EF2AA3"/>
    <w:rsid w:val="00EF44E1"/>
    <w:rsid w:val="00EF67D8"/>
    <w:rsid w:val="00F03220"/>
    <w:rsid w:val="00F228DC"/>
    <w:rsid w:val="00F357A3"/>
    <w:rsid w:val="00F3595C"/>
    <w:rsid w:val="00F415B8"/>
    <w:rsid w:val="00F42BBB"/>
    <w:rsid w:val="00F50E24"/>
    <w:rsid w:val="00F53106"/>
    <w:rsid w:val="00F53817"/>
    <w:rsid w:val="00F63ACD"/>
    <w:rsid w:val="00F67F36"/>
    <w:rsid w:val="00F753CC"/>
    <w:rsid w:val="00F75E1E"/>
    <w:rsid w:val="00F75F1B"/>
    <w:rsid w:val="00F80DC3"/>
    <w:rsid w:val="00F83253"/>
    <w:rsid w:val="00F841EF"/>
    <w:rsid w:val="00F90077"/>
    <w:rsid w:val="00F90886"/>
    <w:rsid w:val="00F930A8"/>
    <w:rsid w:val="00F941C4"/>
    <w:rsid w:val="00FA1FCA"/>
    <w:rsid w:val="00FB1114"/>
    <w:rsid w:val="00FD0F9C"/>
    <w:rsid w:val="28D026A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character" w:styleId="FollowedHyperlink">
    <w:name w:val="FollowedHyperlink"/>
    <w:basedOn w:val="DefaultParagraphFont"/>
    <w:uiPriority w:val="99"/>
    <w:semiHidden/>
    <w:unhideWhenUsed/>
    <w:rsid w:val="00C236BB"/>
    <w:rPr>
      <w:color w:val="3EBBF0" w:themeColor="followedHyperlink"/>
      <w:u w:val="single"/>
    </w:rPr>
  </w:style>
  <w:style w:type="paragraph" w:styleId="Revision">
    <w:name w:val="Revision"/>
    <w:hidden/>
    <w:uiPriority w:val="99"/>
    <w:semiHidden/>
    <w:rsid w:val="00A13E2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599487818">
      <w:bodyDiv w:val="1"/>
      <w:marLeft w:val="0"/>
      <w:marRight w:val="0"/>
      <w:marTop w:val="0"/>
      <w:marBottom w:val="0"/>
      <w:divBdr>
        <w:top w:val="none" w:sz="0" w:space="0" w:color="auto"/>
        <w:left w:val="none" w:sz="0" w:space="0" w:color="auto"/>
        <w:bottom w:val="none" w:sz="0" w:space="0" w:color="auto"/>
        <w:right w:val="none" w:sz="0" w:space="0" w:color="auto"/>
      </w:divBdr>
    </w:div>
    <w:div w:id="688797789">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17369860">
      <w:bodyDiv w:val="1"/>
      <w:marLeft w:val="0"/>
      <w:marRight w:val="0"/>
      <w:marTop w:val="0"/>
      <w:marBottom w:val="0"/>
      <w:divBdr>
        <w:top w:val="none" w:sz="0" w:space="0" w:color="auto"/>
        <w:left w:val="none" w:sz="0" w:space="0" w:color="auto"/>
        <w:bottom w:val="none" w:sz="0" w:space="0" w:color="auto"/>
        <w:right w:val="none" w:sz="0" w:space="0" w:color="auto"/>
      </w:divBdr>
    </w:div>
    <w:div w:id="1344212200">
      <w:bodyDiv w:val="1"/>
      <w:marLeft w:val="0"/>
      <w:marRight w:val="0"/>
      <w:marTop w:val="0"/>
      <w:marBottom w:val="0"/>
      <w:divBdr>
        <w:top w:val="none" w:sz="0" w:space="0" w:color="auto"/>
        <w:left w:val="none" w:sz="0" w:space="0" w:color="auto"/>
        <w:bottom w:val="none" w:sz="0" w:space="0" w:color="auto"/>
        <w:right w:val="none" w:sz="0" w:space="0" w:color="auto"/>
      </w:divBdr>
    </w:div>
    <w:div w:id="1607271085">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203299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s://www.abuseincare.org.nz/" TargetMode="External"/><Relationship Id="rId3" Type="http://schemas.openxmlformats.org/officeDocument/2006/relationships/hyperlink" Target="https://ccsdisabilityaction.org.nz/assets/resource-files/The-State-of-wellbeing-and-equality-FINAL-ONLINE.pdf" TargetMode="External"/><Relationship Id="rId7" Type="http://schemas.openxmlformats.org/officeDocument/2006/relationships/hyperlink" Target="https://violencefree.govt.nz/national-strategy/" TargetMode="External"/><Relationship Id="rId2" Type="http://schemas.openxmlformats.org/officeDocument/2006/relationships/hyperlink" Target="https://www.stats.govt.nz/news/child-poverty-statistics-for-households-with-disabled-people-released-for-the-first-time" TargetMode="External"/><Relationship Id="rId1" Type="http://schemas.openxmlformats.org/officeDocument/2006/relationships/hyperlink" Target="http://www.inequality.org.nz/understand/" TargetMode="External"/><Relationship Id="rId6" Type="http://schemas.openxmlformats.org/officeDocument/2006/relationships/hyperlink" Target="https://www.nzherald.co.nz/nz/disabled-adults-more-than-50-per-cent-more-likely-to-suffer-sexual-violence-in-new-zealand/JSWA3WG2DQOEAYKAYGNO3ERLKQ/" TargetMode="External"/><Relationship Id="rId5" Type="http://schemas.openxmlformats.org/officeDocument/2006/relationships/hyperlink" Target="https://www.dpa.org.nz/store/doc/Post-Election-2020-Briefing-For-MPs.docx" TargetMode="External"/><Relationship Id="rId4" Type="http://schemas.openxmlformats.org/officeDocument/2006/relationships/hyperlink" Target="https://www.stuff.co.nz/opinion/128128199/how-a-loss-of-trust-has-fed-the-divisions-in-society" TargetMode="External"/><Relationship Id="rId9" Type="http://schemas.openxmlformats.org/officeDocument/2006/relationships/hyperlink" Target="https://www.enablinggoodlives.co.nz/about-egl/egl-approach/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smurray\Desktop\Storage\Graphs%20for%20designer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NZ" sz="1200" b="1">
                <a:solidFill>
                  <a:sysClr val="windowText" lastClr="000000"/>
                </a:solidFill>
                <a:latin typeface="Arial" panose="020B0604020202020204" pitchFamily="34" charset="0"/>
                <a:cs typeface="Arial" panose="020B0604020202020204" pitchFamily="34" charset="0"/>
              </a:rPr>
              <a:t>The percentage of people reporting low trust in 2020</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'[People reporting low trust.xlsx]Sheet1'!$K$122</c:f>
              <c:strCache>
                <c:ptCount val="1"/>
                <c:pt idx="0">
                  <c:v>Trust in people generally</c:v>
                </c:pt>
              </c:strCache>
            </c:strRef>
          </c:tx>
          <c:spPr>
            <a:solidFill>
              <a:schemeClr val="accent6">
                <a:lumMod val="60000"/>
                <a:lumOff val="40000"/>
              </a:schemeClr>
            </a:solidFill>
            <a:ln>
              <a:noFill/>
            </a:ln>
            <a:effectLst/>
          </c:spPr>
          <c:invertIfNegative val="0"/>
          <c:errBars>
            <c:errBarType val="both"/>
            <c:errValType val="cust"/>
            <c:noEndCap val="0"/>
            <c:plus>
              <c:numRef>
                <c:f>'[People reporting low trust.xlsx]Sheet1'!$M$127:$R$127</c:f>
                <c:numCache>
                  <c:formatCode>General</c:formatCode>
                  <c:ptCount val="6"/>
                  <c:pt idx="0">
                    <c:v>2.4E-2</c:v>
                  </c:pt>
                  <c:pt idx="1">
                    <c:v>3.4000000000000002E-2</c:v>
                  </c:pt>
                  <c:pt idx="2">
                    <c:v>5.0999999999999997E-2</c:v>
                  </c:pt>
                  <c:pt idx="3">
                    <c:v>6.0000000000000001E-3</c:v>
                  </c:pt>
                  <c:pt idx="4">
                    <c:v>3.2000000000000001E-2</c:v>
                  </c:pt>
                  <c:pt idx="5">
                    <c:v>4.2999999999999997E-2</c:v>
                  </c:pt>
                </c:numCache>
              </c:numRef>
            </c:plus>
            <c:minus>
              <c:numRef>
                <c:f>'[People reporting low trust.xlsx]Sheet1'!$M$127:$R$127</c:f>
                <c:numCache>
                  <c:formatCode>General</c:formatCode>
                  <c:ptCount val="6"/>
                  <c:pt idx="0">
                    <c:v>2.4E-2</c:v>
                  </c:pt>
                  <c:pt idx="1">
                    <c:v>3.4000000000000002E-2</c:v>
                  </c:pt>
                  <c:pt idx="2">
                    <c:v>5.0999999999999997E-2</c:v>
                  </c:pt>
                  <c:pt idx="3">
                    <c:v>6.0000000000000001E-3</c:v>
                  </c:pt>
                  <c:pt idx="4">
                    <c:v>3.2000000000000001E-2</c:v>
                  </c:pt>
                  <c:pt idx="5">
                    <c:v>4.2999999999999997E-2</c:v>
                  </c:pt>
                </c:numCache>
              </c:numRef>
            </c:minus>
            <c:spPr>
              <a:noFill/>
              <a:ln w="9525" cap="flat" cmpd="sng" algn="ctr">
                <a:solidFill>
                  <a:schemeClr val="tx1">
                    <a:lumMod val="65000"/>
                    <a:lumOff val="35000"/>
                  </a:schemeClr>
                </a:solidFill>
                <a:round/>
              </a:ln>
              <a:effectLst/>
            </c:spPr>
          </c:errBars>
          <c:cat>
            <c:strRef>
              <c:f>'[People reporting low trust.xlsx]Sheet1'!$M$121:$R$121</c:f>
              <c:strCache>
                <c:ptCount val="6"/>
                <c:pt idx="0">
                  <c:v>Māori</c:v>
                </c:pt>
                <c:pt idx="1">
                  <c:v>Pacific peoples</c:v>
                </c:pt>
                <c:pt idx="2">
                  <c:v>Disabled people aged 18 to 64</c:v>
                </c:pt>
                <c:pt idx="3">
                  <c:v>Non-disabled people aged 18 to 64</c:v>
                </c:pt>
                <c:pt idx="4">
                  <c:v>Sole parents</c:v>
                </c:pt>
                <c:pt idx="5">
                  <c:v>People who are unemployed</c:v>
                </c:pt>
              </c:strCache>
            </c:strRef>
          </c:cat>
          <c:val>
            <c:numRef>
              <c:f>'[People reporting low trust.xlsx]Sheet1'!$M$122:$R$122</c:f>
              <c:numCache>
                <c:formatCode>General</c:formatCode>
                <c:ptCount val="6"/>
                <c:pt idx="0">
                  <c:v>0.121</c:v>
                </c:pt>
                <c:pt idx="1">
                  <c:v>0.105</c:v>
                </c:pt>
                <c:pt idx="2">
                  <c:v>0.19</c:v>
                </c:pt>
                <c:pt idx="3">
                  <c:v>6.7000000000000004E-2</c:v>
                </c:pt>
                <c:pt idx="4">
                  <c:v>0.13800000000000001</c:v>
                </c:pt>
                <c:pt idx="5">
                  <c:v>0.13100000000000001</c:v>
                </c:pt>
              </c:numCache>
            </c:numRef>
          </c:val>
          <c:extLst>
            <c:ext xmlns:c16="http://schemas.microsoft.com/office/drawing/2014/chart" uri="{C3380CC4-5D6E-409C-BE32-E72D297353CC}">
              <c16:uniqueId val="{00000000-7FEE-45E9-8D93-A7281AF444FD}"/>
            </c:ext>
          </c:extLst>
        </c:ser>
        <c:ser>
          <c:idx val="1"/>
          <c:order val="1"/>
          <c:tx>
            <c:strRef>
              <c:f>'[People reporting low trust.xlsx]Sheet1'!$K$123</c:f>
              <c:strCache>
                <c:ptCount val="1"/>
                <c:pt idx="0">
                  <c:v>Police</c:v>
                </c:pt>
              </c:strCache>
            </c:strRef>
          </c:tx>
          <c:spPr>
            <a:solidFill>
              <a:schemeClr val="accent5">
                <a:lumMod val="60000"/>
                <a:lumOff val="40000"/>
              </a:schemeClr>
            </a:solidFill>
            <a:ln>
              <a:noFill/>
            </a:ln>
            <a:effectLst/>
          </c:spPr>
          <c:invertIfNegative val="0"/>
          <c:errBars>
            <c:errBarType val="both"/>
            <c:errValType val="cust"/>
            <c:noEndCap val="0"/>
            <c:plus>
              <c:numRef>
                <c:f>'[People reporting low trust.xlsx]Sheet1'!$M$126:$R$126</c:f>
                <c:numCache>
                  <c:formatCode>General</c:formatCode>
                  <c:ptCount val="6"/>
                  <c:pt idx="0">
                    <c:v>0.02</c:v>
                  </c:pt>
                  <c:pt idx="1">
                    <c:v>3.9E-2</c:v>
                  </c:pt>
                  <c:pt idx="2">
                    <c:v>4.8000000000000001E-2</c:v>
                  </c:pt>
                  <c:pt idx="3">
                    <c:v>6.0000000000000001E-3</c:v>
                  </c:pt>
                  <c:pt idx="4">
                    <c:v>2.4E-2</c:v>
                  </c:pt>
                  <c:pt idx="5">
                    <c:v>4.7E-2</c:v>
                  </c:pt>
                </c:numCache>
              </c:numRef>
            </c:plus>
            <c:minus>
              <c:numRef>
                <c:f>'[People reporting low trust.xlsx]Sheet1'!$M$126:$R$126</c:f>
                <c:numCache>
                  <c:formatCode>General</c:formatCode>
                  <c:ptCount val="6"/>
                  <c:pt idx="0">
                    <c:v>0.02</c:v>
                  </c:pt>
                  <c:pt idx="1">
                    <c:v>3.9E-2</c:v>
                  </c:pt>
                  <c:pt idx="2">
                    <c:v>4.8000000000000001E-2</c:v>
                  </c:pt>
                  <c:pt idx="3">
                    <c:v>6.0000000000000001E-3</c:v>
                  </c:pt>
                  <c:pt idx="4">
                    <c:v>2.4E-2</c:v>
                  </c:pt>
                  <c:pt idx="5">
                    <c:v>4.7E-2</c:v>
                  </c:pt>
                </c:numCache>
              </c:numRef>
            </c:minus>
            <c:spPr>
              <a:noFill/>
              <a:ln w="9525" cap="flat" cmpd="sng" algn="ctr">
                <a:solidFill>
                  <a:schemeClr val="tx1">
                    <a:lumMod val="65000"/>
                    <a:lumOff val="35000"/>
                  </a:schemeClr>
                </a:solidFill>
                <a:round/>
              </a:ln>
              <a:effectLst/>
            </c:spPr>
          </c:errBars>
          <c:cat>
            <c:strRef>
              <c:f>'[People reporting low trust.xlsx]Sheet1'!$M$121:$R$121</c:f>
              <c:strCache>
                <c:ptCount val="6"/>
                <c:pt idx="0">
                  <c:v>Māori</c:v>
                </c:pt>
                <c:pt idx="1">
                  <c:v>Pacific peoples</c:v>
                </c:pt>
                <c:pt idx="2">
                  <c:v>Disabled people aged 18 to 64</c:v>
                </c:pt>
                <c:pt idx="3">
                  <c:v>Non-disabled people aged 18 to 64</c:v>
                </c:pt>
                <c:pt idx="4">
                  <c:v>Sole parents</c:v>
                </c:pt>
                <c:pt idx="5">
                  <c:v>People who are unemployed</c:v>
                </c:pt>
              </c:strCache>
            </c:strRef>
          </c:cat>
          <c:val>
            <c:numRef>
              <c:f>'[People reporting low trust.xlsx]Sheet1'!$M$123:$R$123</c:f>
              <c:numCache>
                <c:formatCode>General</c:formatCode>
                <c:ptCount val="6"/>
                <c:pt idx="0">
                  <c:v>7.9000000000000001E-2</c:v>
                </c:pt>
                <c:pt idx="1">
                  <c:v>8.5999999999999993E-2</c:v>
                </c:pt>
                <c:pt idx="2">
                  <c:v>0.16300000000000001</c:v>
                </c:pt>
                <c:pt idx="3">
                  <c:v>4.3999999999999997E-2</c:v>
                </c:pt>
                <c:pt idx="4">
                  <c:v>8.8000000000000009E-2</c:v>
                </c:pt>
                <c:pt idx="5">
                  <c:v>0.114</c:v>
                </c:pt>
              </c:numCache>
            </c:numRef>
          </c:val>
          <c:extLst>
            <c:ext xmlns:c16="http://schemas.microsoft.com/office/drawing/2014/chart" uri="{C3380CC4-5D6E-409C-BE32-E72D297353CC}">
              <c16:uniqueId val="{00000001-7FEE-45E9-8D93-A7281AF444FD}"/>
            </c:ext>
          </c:extLst>
        </c:ser>
        <c:ser>
          <c:idx val="2"/>
          <c:order val="2"/>
          <c:tx>
            <c:strRef>
              <c:f>'[People reporting low trust.xlsx]Sheet1'!$K$124</c:f>
              <c:strCache>
                <c:ptCount val="1"/>
                <c:pt idx="0">
                  <c:v>Health system</c:v>
                </c:pt>
              </c:strCache>
            </c:strRef>
          </c:tx>
          <c:spPr>
            <a:solidFill>
              <a:schemeClr val="accent2">
                <a:lumMod val="60000"/>
                <a:lumOff val="40000"/>
              </a:schemeClr>
            </a:solidFill>
            <a:ln>
              <a:noFill/>
            </a:ln>
            <a:effectLst/>
          </c:spPr>
          <c:invertIfNegative val="0"/>
          <c:errBars>
            <c:errBarType val="both"/>
            <c:errValType val="cust"/>
            <c:noEndCap val="0"/>
            <c:plus>
              <c:numRef>
                <c:f>'[People reporting low trust.xlsx]Sheet1'!$M$125:$R$125</c:f>
                <c:numCache>
                  <c:formatCode>General</c:formatCode>
                  <c:ptCount val="6"/>
                  <c:pt idx="0">
                    <c:v>2.6000000000000002E-2</c:v>
                  </c:pt>
                  <c:pt idx="1">
                    <c:v>2.6000000000000002E-2</c:v>
                  </c:pt>
                  <c:pt idx="2">
                    <c:v>5.5999999999999994E-2</c:v>
                  </c:pt>
                  <c:pt idx="3">
                    <c:v>6.9999999999999993E-3</c:v>
                  </c:pt>
                  <c:pt idx="4">
                    <c:v>3.5000000000000003E-2</c:v>
                  </c:pt>
                  <c:pt idx="5">
                    <c:v>4.5999999999999999E-2</c:v>
                  </c:pt>
                </c:numCache>
              </c:numRef>
            </c:plus>
            <c:minus>
              <c:numRef>
                <c:f>'[People reporting low trust.xlsx]Sheet1'!$M$125:$R$125</c:f>
                <c:numCache>
                  <c:formatCode>General</c:formatCode>
                  <c:ptCount val="6"/>
                  <c:pt idx="0">
                    <c:v>2.6000000000000002E-2</c:v>
                  </c:pt>
                  <c:pt idx="1">
                    <c:v>2.6000000000000002E-2</c:v>
                  </c:pt>
                  <c:pt idx="2">
                    <c:v>5.5999999999999994E-2</c:v>
                  </c:pt>
                  <c:pt idx="3">
                    <c:v>6.9999999999999993E-3</c:v>
                  </c:pt>
                  <c:pt idx="4">
                    <c:v>3.5000000000000003E-2</c:v>
                  </c:pt>
                  <c:pt idx="5">
                    <c:v>4.5999999999999999E-2</c:v>
                  </c:pt>
                </c:numCache>
              </c:numRef>
            </c:minus>
            <c:spPr>
              <a:noFill/>
              <a:ln w="9525" cap="flat" cmpd="sng" algn="ctr">
                <a:solidFill>
                  <a:schemeClr val="tx1">
                    <a:lumMod val="65000"/>
                    <a:lumOff val="35000"/>
                  </a:schemeClr>
                </a:solidFill>
                <a:round/>
              </a:ln>
              <a:effectLst/>
            </c:spPr>
          </c:errBars>
          <c:cat>
            <c:strRef>
              <c:f>'[People reporting low trust.xlsx]Sheet1'!$M$121:$R$121</c:f>
              <c:strCache>
                <c:ptCount val="6"/>
                <c:pt idx="0">
                  <c:v>Māori</c:v>
                </c:pt>
                <c:pt idx="1">
                  <c:v>Pacific peoples</c:v>
                </c:pt>
                <c:pt idx="2">
                  <c:v>Disabled people aged 18 to 64</c:v>
                </c:pt>
                <c:pt idx="3">
                  <c:v>Non-disabled people aged 18 to 64</c:v>
                </c:pt>
                <c:pt idx="4">
                  <c:v>Sole parents</c:v>
                </c:pt>
                <c:pt idx="5">
                  <c:v>People who are unemployed</c:v>
                </c:pt>
              </c:strCache>
            </c:strRef>
          </c:cat>
          <c:val>
            <c:numRef>
              <c:f>'[People reporting low trust.xlsx]Sheet1'!$M$124:$R$124</c:f>
              <c:numCache>
                <c:formatCode>General</c:formatCode>
                <c:ptCount val="6"/>
                <c:pt idx="0">
                  <c:v>0.111</c:v>
                </c:pt>
                <c:pt idx="1">
                  <c:v>5.8999999999999997E-2</c:v>
                </c:pt>
                <c:pt idx="2">
                  <c:v>0.20799999999999999</c:v>
                </c:pt>
                <c:pt idx="3">
                  <c:v>6.9000000000000006E-2</c:v>
                </c:pt>
                <c:pt idx="4">
                  <c:v>0.12</c:v>
                </c:pt>
                <c:pt idx="5">
                  <c:v>0.12</c:v>
                </c:pt>
              </c:numCache>
            </c:numRef>
          </c:val>
          <c:extLst>
            <c:ext xmlns:c16="http://schemas.microsoft.com/office/drawing/2014/chart" uri="{C3380CC4-5D6E-409C-BE32-E72D297353CC}">
              <c16:uniqueId val="{00000002-7FEE-45E9-8D93-A7281AF444FD}"/>
            </c:ext>
          </c:extLst>
        </c:ser>
        <c:dLbls>
          <c:showLegendKey val="0"/>
          <c:showVal val="0"/>
          <c:showCatName val="0"/>
          <c:showSerName val="0"/>
          <c:showPercent val="0"/>
          <c:showBubbleSize val="0"/>
        </c:dLbls>
        <c:gapWidth val="219"/>
        <c:overlap val="-27"/>
        <c:axId val="792411759"/>
        <c:axId val="623528063"/>
      </c:barChart>
      <c:catAx>
        <c:axId val="792411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623528063"/>
        <c:crosses val="autoZero"/>
        <c:auto val="1"/>
        <c:lblAlgn val="ctr"/>
        <c:lblOffset val="100"/>
        <c:noMultiLvlLbl val="0"/>
      </c:catAx>
      <c:valAx>
        <c:axId val="62352806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79241175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1422</Words>
  <Characters>8111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9514</CharactersWithSpaces>
  <SharedDoc>false</SharedDoc>
  <HLinks>
    <vt:vector size="60" baseType="variant">
      <vt:variant>
        <vt:i4>2424918</vt:i4>
      </vt:variant>
      <vt:variant>
        <vt:i4>0</vt:i4>
      </vt:variant>
      <vt:variant>
        <vt:i4>0</vt:i4>
      </vt:variant>
      <vt:variant>
        <vt:i4>5</vt:i4>
      </vt:variant>
      <vt:variant>
        <vt:lpwstr>mailto:policy@dpa.org.nz</vt:lpwstr>
      </vt:variant>
      <vt:variant>
        <vt:lpwstr/>
      </vt:variant>
      <vt:variant>
        <vt:i4>4063282</vt:i4>
      </vt:variant>
      <vt:variant>
        <vt:i4>24</vt:i4>
      </vt:variant>
      <vt:variant>
        <vt:i4>0</vt:i4>
      </vt:variant>
      <vt:variant>
        <vt:i4>5</vt:i4>
      </vt:variant>
      <vt:variant>
        <vt:lpwstr>https://www.enablinggoodlives.co.nz/about-egl/egl-approach/principles/</vt:lpwstr>
      </vt:variant>
      <vt:variant>
        <vt:lpwstr/>
      </vt:variant>
      <vt:variant>
        <vt:i4>2687037</vt:i4>
      </vt:variant>
      <vt:variant>
        <vt:i4>21</vt:i4>
      </vt:variant>
      <vt:variant>
        <vt:i4>0</vt:i4>
      </vt:variant>
      <vt:variant>
        <vt:i4>5</vt:i4>
      </vt:variant>
      <vt:variant>
        <vt:lpwstr>https://www.abuseincare.org.nz/</vt:lpwstr>
      </vt:variant>
      <vt:variant>
        <vt:lpwstr/>
      </vt:variant>
      <vt:variant>
        <vt:i4>8192048</vt:i4>
      </vt:variant>
      <vt:variant>
        <vt:i4>18</vt:i4>
      </vt:variant>
      <vt:variant>
        <vt:i4>0</vt:i4>
      </vt:variant>
      <vt:variant>
        <vt:i4>5</vt:i4>
      </vt:variant>
      <vt:variant>
        <vt:lpwstr>https://violencefree.govt.nz/national-strategy/</vt:lpwstr>
      </vt:variant>
      <vt:variant>
        <vt:lpwstr/>
      </vt:variant>
      <vt:variant>
        <vt:i4>4849736</vt:i4>
      </vt:variant>
      <vt:variant>
        <vt:i4>15</vt:i4>
      </vt:variant>
      <vt:variant>
        <vt:i4>0</vt:i4>
      </vt:variant>
      <vt:variant>
        <vt:i4>5</vt:i4>
      </vt:variant>
      <vt:variant>
        <vt:lpwstr>https://www.nzherald.co.nz/nz/disabled-adults-more-than-50-per-cent-more-likely-to-suffer-sexual-violence-in-new-zealand/JSWA3WG2DQOEAYKAYGNO3ERLKQ/</vt:lpwstr>
      </vt:variant>
      <vt:variant>
        <vt:lpwstr/>
      </vt:variant>
      <vt:variant>
        <vt:i4>5308437</vt:i4>
      </vt:variant>
      <vt:variant>
        <vt:i4>12</vt:i4>
      </vt:variant>
      <vt:variant>
        <vt:i4>0</vt:i4>
      </vt:variant>
      <vt:variant>
        <vt:i4>5</vt:i4>
      </vt:variant>
      <vt:variant>
        <vt:lpwstr>https://www.dpa.org.nz/store/doc/Post-Election-2020-Briefing-For-MPs.docx</vt:lpwstr>
      </vt:variant>
      <vt:variant>
        <vt:lpwstr/>
      </vt:variant>
      <vt:variant>
        <vt:i4>3997753</vt:i4>
      </vt:variant>
      <vt:variant>
        <vt:i4>9</vt:i4>
      </vt:variant>
      <vt:variant>
        <vt:i4>0</vt:i4>
      </vt:variant>
      <vt:variant>
        <vt:i4>5</vt:i4>
      </vt:variant>
      <vt:variant>
        <vt:lpwstr>https://www.stuff.co.nz/opinion/128128199/how-a-loss-of-trust-has-fed-the-divisions-in-society</vt:lpwstr>
      </vt:variant>
      <vt:variant>
        <vt:lpwstr/>
      </vt:variant>
      <vt:variant>
        <vt:i4>4915230</vt:i4>
      </vt:variant>
      <vt:variant>
        <vt:i4>6</vt:i4>
      </vt:variant>
      <vt:variant>
        <vt:i4>0</vt:i4>
      </vt:variant>
      <vt:variant>
        <vt:i4>5</vt:i4>
      </vt:variant>
      <vt:variant>
        <vt:lpwstr>https://ccsdisabilityaction.org.nz/assets/resource-files/The-State-of-wellbeing-and-equality-FINAL-ONLINE.pdf</vt:lpwstr>
      </vt:variant>
      <vt:variant>
        <vt:lpwstr/>
      </vt:variant>
      <vt:variant>
        <vt:i4>3801129</vt:i4>
      </vt:variant>
      <vt:variant>
        <vt:i4>3</vt:i4>
      </vt:variant>
      <vt:variant>
        <vt:i4>0</vt:i4>
      </vt:variant>
      <vt:variant>
        <vt:i4>5</vt:i4>
      </vt:variant>
      <vt:variant>
        <vt:lpwstr>https://www.stats.govt.nz/news/child-poverty-statistics-for-households-with-disabled-people-released-for-the-first-time</vt:lpwstr>
      </vt:variant>
      <vt:variant>
        <vt:lpwstr/>
      </vt:variant>
      <vt:variant>
        <vt:i4>1310730</vt:i4>
      </vt:variant>
      <vt:variant>
        <vt:i4>0</vt:i4>
      </vt:variant>
      <vt:variant>
        <vt:i4>0</vt:i4>
      </vt:variant>
      <vt:variant>
        <vt:i4>5</vt:i4>
      </vt:variant>
      <vt:variant>
        <vt:lpwstr>http://www.inequality.org.nz/understand/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2022-04-01T10:58:00Z</dcterms:created>
  <dcterms:modified xsi:type="dcterms:W3CDTF">2022-04-01T10:58:00Z</dcterms:modified>
</cp:coreProperties>
</file>