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C42E" w14:textId="0541C65E" w:rsidR="00587C7D" w:rsidRPr="005244AE" w:rsidRDefault="72AC537B" w:rsidP="00E9298B">
      <w:r>
        <w:t>October</w:t>
      </w:r>
      <w:r w:rsidR="7E7F8924">
        <w:t xml:space="preserve"> 2022</w:t>
      </w:r>
    </w:p>
    <w:p w14:paraId="713BEF40" w14:textId="726BEC45" w:rsidR="00587C7D" w:rsidRPr="005244AE" w:rsidRDefault="00587C7D" w:rsidP="00E9298B"/>
    <w:p w14:paraId="4410E38B" w14:textId="147FA809" w:rsidR="000A33E1" w:rsidRPr="005244AE" w:rsidRDefault="00587C7D" w:rsidP="3B39AFF9">
      <w:pPr>
        <w:rPr>
          <w:rFonts w:eastAsia="Arial" w:cs="Arial"/>
          <w:szCs w:val="24"/>
        </w:rPr>
      </w:pPr>
      <w:r>
        <w:t xml:space="preserve">To </w:t>
      </w:r>
      <w:r w:rsidR="29CE15CD" w:rsidRPr="3B39AFF9">
        <w:rPr>
          <w:rFonts w:eastAsia="Arial" w:cs="Arial"/>
          <w:szCs w:val="24"/>
        </w:rPr>
        <w:t xml:space="preserve">The </w:t>
      </w:r>
      <w:r w:rsidR="59AE0C33" w:rsidRPr="3B39AFF9">
        <w:rPr>
          <w:rFonts w:eastAsia="Arial" w:cs="Arial"/>
          <w:szCs w:val="24"/>
        </w:rPr>
        <w:t>Dunedin City Council</w:t>
      </w:r>
    </w:p>
    <w:p w14:paraId="39E3DE5B" w14:textId="1F4CF8C8" w:rsidR="008443CB" w:rsidRDefault="00587C7D" w:rsidP="523AB646">
      <w:r>
        <w:t>Please find attached</w:t>
      </w:r>
      <w:r w:rsidR="000A33E1">
        <w:t xml:space="preserve"> </w:t>
      </w:r>
      <w:r w:rsidR="7862963C">
        <w:t xml:space="preserve">our submission on the </w:t>
      </w:r>
      <w:r w:rsidR="34349A8C">
        <w:t>Proposed Dunedin Destination Playground</w:t>
      </w:r>
    </w:p>
    <w:p w14:paraId="659F282C" w14:textId="46885B28" w:rsidR="00587C7D" w:rsidRPr="007800D4" w:rsidRDefault="00D26396" w:rsidP="370D21B6">
      <w:pPr>
        <w:shd w:val="clear" w:color="auto" w:fill="FFFFFF" w:themeFill="background1"/>
        <w:spacing w:before="360" w:after="120" w:line="276" w:lineRule="auto"/>
        <w:ind w:left="142" w:right="306"/>
        <w:jc w:val="center"/>
        <w:rPr>
          <w:rFonts w:ascii="Arial Rounded MT Bold" w:hAnsi="Arial Rounded MT Bold"/>
          <w:color w:val="002060"/>
          <w:sz w:val="32"/>
          <w:szCs w:val="32"/>
        </w:rPr>
      </w:pPr>
      <w:r w:rsidRPr="370D21B6">
        <w:rPr>
          <w:rFonts w:ascii="Arial Rounded MT Bold" w:hAnsi="Arial Rounded MT Bold"/>
          <w:color w:val="002060"/>
          <w:sz w:val="32"/>
          <w:szCs w:val="32"/>
        </w:rPr>
        <w:t>Disabled Persons Assembly NZ</w:t>
      </w:r>
    </w:p>
    <w:p w14:paraId="25D51A58" w14:textId="77777777" w:rsidR="00587C7D" w:rsidRDefault="00587C7D" w:rsidP="00587C7D">
      <w:pPr>
        <w:pStyle w:val="NormalWeb"/>
        <w:shd w:val="clear" w:color="auto" w:fill="FFFFFF"/>
        <w:spacing w:before="120" w:beforeAutospacing="0" w:after="120" w:afterAutospacing="0" w:line="276" w:lineRule="auto"/>
        <w:ind w:left="142" w:right="304"/>
        <w:rPr>
          <w:rFonts w:ascii="Arial" w:hAnsi="Arial" w:cs="Arial"/>
        </w:rPr>
      </w:pPr>
    </w:p>
    <w:p w14:paraId="5ACBECCC" w14:textId="77777777" w:rsidR="00587C7D" w:rsidRPr="008E541D" w:rsidRDefault="00587C7D" w:rsidP="00E9298B">
      <w:pPr>
        <w:rPr>
          <w:rStyle w:val="Emphasis"/>
        </w:rPr>
      </w:pPr>
      <w:r w:rsidRPr="370D21B6">
        <w:rPr>
          <w:rStyle w:val="Emphasis"/>
        </w:rPr>
        <w:t>Contact:</w:t>
      </w:r>
    </w:p>
    <w:p w14:paraId="73B87721" w14:textId="3C9AB2B0" w:rsidR="00E01BE4" w:rsidRDefault="00F617B4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  <w:r w:rsidRPr="370D21B6">
        <w:rPr>
          <w:rStyle w:val="Emphasis"/>
          <w:rFonts w:ascii="Arial Rounded MT Bold" w:hAnsi="Arial Rounded MT Bold"/>
          <w:b/>
          <w:bCs/>
          <w:sz w:val="28"/>
          <w:szCs w:val="28"/>
        </w:rPr>
        <w:t xml:space="preserve">Chris Ford </w:t>
      </w:r>
    </w:p>
    <w:p w14:paraId="2A820797" w14:textId="09BF62B2" w:rsidR="00F617B4" w:rsidRDefault="00F617B4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  <w:r w:rsidRPr="370D21B6">
        <w:rPr>
          <w:rStyle w:val="Emphasis"/>
          <w:rFonts w:ascii="Arial Rounded MT Bold" w:hAnsi="Arial Rounded MT Bold"/>
          <w:b/>
          <w:bCs/>
          <w:sz w:val="28"/>
          <w:szCs w:val="28"/>
        </w:rPr>
        <w:t xml:space="preserve">Regional Policy Advisor </w:t>
      </w:r>
    </w:p>
    <w:p w14:paraId="76A29404" w14:textId="7B9C0A20" w:rsidR="00F617B4" w:rsidRDefault="00F617B4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  <w:r w:rsidRPr="370D21B6">
        <w:rPr>
          <w:rStyle w:val="Emphasis"/>
          <w:rFonts w:ascii="Arial Rounded MT Bold" w:hAnsi="Arial Rounded MT Bold"/>
          <w:b/>
          <w:bCs/>
          <w:sz w:val="28"/>
          <w:szCs w:val="28"/>
        </w:rPr>
        <w:t>027 696 0872</w:t>
      </w:r>
    </w:p>
    <w:p w14:paraId="3FCA8F0F" w14:textId="24EE15B9" w:rsidR="00F617B4" w:rsidRDefault="00BD01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  <w:hyperlink r:id="rId11">
        <w:r w:rsidR="00F617B4" w:rsidRPr="370D21B6">
          <w:rPr>
            <w:rStyle w:val="Hyperlink"/>
            <w:rFonts w:ascii="Arial Rounded MT Bold" w:hAnsi="Arial Rounded MT Bold" w:cs="Arial"/>
            <w:b/>
            <w:bCs/>
            <w:sz w:val="28"/>
            <w:szCs w:val="28"/>
          </w:rPr>
          <w:t>chris.ford@dpa.org.nz</w:t>
        </w:r>
      </w:hyperlink>
      <w:r w:rsidR="00F617B4" w:rsidRPr="370D21B6">
        <w:rPr>
          <w:rStyle w:val="Emphasis"/>
          <w:rFonts w:ascii="Arial Rounded MT Bold" w:hAnsi="Arial Rounded MT Bold"/>
          <w:b/>
          <w:bCs/>
          <w:sz w:val="28"/>
          <w:szCs w:val="28"/>
        </w:rPr>
        <w:t xml:space="preserve"> </w:t>
      </w:r>
    </w:p>
    <w:p w14:paraId="4C13E395" w14:textId="77777777" w:rsidR="00B850AC" w:rsidRDefault="00B850AC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559B1C6B" w14:textId="77777777" w:rsidR="00373682" w:rsidRDefault="003736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5C39F2B4" w14:textId="77777777" w:rsidR="00373682" w:rsidRDefault="003736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216FCD74" w14:textId="77777777" w:rsidR="00373682" w:rsidRDefault="003736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2B034D0E" w14:textId="77777777" w:rsidR="00373682" w:rsidRDefault="003736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4C1DE142" w14:textId="77777777" w:rsidR="00373682" w:rsidRDefault="003736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626E5D1B" w14:textId="680B128D" w:rsidR="00EF265E" w:rsidRDefault="577EF775" w:rsidP="5181EB88">
      <w:pPr>
        <w:pStyle w:val="Heading1"/>
        <w:spacing w:after="0" w:line="360" w:lineRule="auto"/>
        <w:rPr>
          <w:rFonts w:ascii="Arial" w:eastAsia="Arial" w:hAnsi="Arial"/>
          <w:bCs/>
        </w:rPr>
      </w:pPr>
      <w:r w:rsidRPr="6B328A4F">
        <w:rPr>
          <w:rFonts w:ascii="Arial" w:eastAsia="Arial" w:hAnsi="Arial"/>
          <w:bCs/>
        </w:rPr>
        <w:lastRenderedPageBreak/>
        <w:t>Introducing Disabled Persons Assembly</w:t>
      </w:r>
    </w:p>
    <w:p w14:paraId="56D04F9E" w14:textId="52901C25" w:rsidR="00634AEC" w:rsidRPr="006F2712" w:rsidRDefault="29DA147F" w:rsidP="6B328A4F">
      <w:p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b/>
          <w:bCs/>
          <w:color w:val="000000" w:themeColor="text1"/>
          <w:szCs w:val="24"/>
        </w:rPr>
        <w:t>We work on systemic change for the equity of disabled people</w:t>
      </w:r>
      <w:r w:rsidRPr="6B328A4F">
        <w:rPr>
          <w:rFonts w:eastAsia="Arial" w:cs="Arial"/>
          <w:color w:val="000000" w:themeColor="text1"/>
          <w:szCs w:val="24"/>
        </w:rPr>
        <w:t xml:space="preserve"> </w:t>
      </w:r>
    </w:p>
    <w:p w14:paraId="2EF61C11" w14:textId="6BC3F0E6" w:rsidR="00634AEC" w:rsidRPr="006F2712" w:rsidRDefault="29DA147F" w:rsidP="6B328A4F">
      <w:p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Disabled Persons Assembly NZ (DPA) is a not-for-profit pan-impairment Disabled People’s </w:t>
      </w:r>
      <w:proofErr w:type="spellStart"/>
      <w:r w:rsidRPr="6B328A4F">
        <w:rPr>
          <w:rFonts w:eastAsia="Arial" w:cs="Arial"/>
          <w:color w:val="000000" w:themeColor="text1"/>
          <w:szCs w:val="24"/>
          <w:lang w:val="en-US"/>
        </w:rPr>
        <w:t>Organisation</w:t>
      </w:r>
      <w:proofErr w:type="spellEnd"/>
      <w:r w:rsidRPr="6B328A4F">
        <w:rPr>
          <w:rFonts w:eastAsia="Arial" w:cs="Arial"/>
          <w:color w:val="000000" w:themeColor="text1"/>
          <w:szCs w:val="24"/>
          <w:lang w:val="en-US"/>
        </w:rPr>
        <w:t xml:space="preserve"> run by and for disabled people.  </w:t>
      </w:r>
    </w:p>
    <w:p w14:paraId="4590FE0A" w14:textId="58C3104A" w:rsidR="00634AEC" w:rsidRPr="006F2712" w:rsidRDefault="29DA147F" w:rsidP="6B328A4F">
      <w:p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b/>
          <w:bCs/>
          <w:color w:val="000000" w:themeColor="text1"/>
          <w:szCs w:val="24"/>
          <w:lang w:val="en-US"/>
        </w:rPr>
        <w:t xml:space="preserve">We </w:t>
      </w:r>
      <w:proofErr w:type="spellStart"/>
      <w:r w:rsidRPr="6B328A4F">
        <w:rPr>
          <w:rFonts w:eastAsia="Arial" w:cs="Arial"/>
          <w:b/>
          <w:bCs/>
          <w:color w:val="000000" w:themeColor="text1"/>
          <w:szCs w:val="24"/>
          <w:lang w:val="en-US"/>
        </w:rPr>
        <w:t>recognise</w:t>
      </w:r>
      <w:proofErr w:type="spellEnd"/>
      <w:r w:rsidRPr="6B328A4F">
        <w:rPr>
          <w:rFonts w:eastAsia="Arial" w:cs="Arial"/>
          <w:b/>
          <w:bCs/>
          <w:color w:val="000000" w:themeColor="text1"/>
          <w:szCs w:val="24"/>
          <w:lang w:val="en-US"/>
        </w:rPr>
        <w:t>:</w:t>
      </w:r>
    </w:p>
    <w:p w14:paraId="6E0D6E7C" w14:textId="6F92763C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Māori as </w:t>
      </w:r>
      <w:proofErr w:type="spellStart"/>
      <w:r w:rsidRPr="6B328A4F">
        <w:rPr>
          <w:rFonts w:eastAsia="Arial" w:cs="Arial"/>
          <w:color w:val="000000" w:themeColor="text1"/>
          <w:szCs w:val="24"/>
          <w:lang w:val="en-US"/>
        </w:rPr>
        <w:t>Tangata</w:t>
      </w:r>
      <w:proofErr w:type="spellEnd"/>
      <w:r w:rsidRPr="6B328A4F">
        <w:rPr>
          <w:rFonts w:eastAsia="Arial" w:cs="Arial"/>
          <w:color w:val="000000" w:themeColor="text1"/>
          <w:szCs w:val="24"/>
          <w:lang w:val="en-US"/>
        </w:rPr>
        <w:t xml:space="preserve"> Whenua and </w:t>
      </w:r>
      <w:hyperlink r:id="rId12">
        <w:r w:rsidRPr="6B328A4F">
          <w:rPr>
            <w:rStyle w:val="Hyperlink"/>
            <w:rFonts w:eastAsia="Arial" w:cs="Arial"/>
            <w:szCs w:val="24"/>
            <w:lang w:val="en-US"/>
          </w:rPr>
          <w:t xml:space="preserve">Te </w:t>
        </w:r>
        <w:proofErr w:type="spellStart"/>
        <w:r w:rsidRPr="6B328A4F">
          <w:rPr>
            <w:rStyle w:val="Hyperlink"/>
            <w:rFonts w:eastAsia="Arial" w:cs="Arial"/>
            <w:szCs w:val="24"/>
            <w:lang w:val="en-US"/>
          </w:rPr>
          <w:t>Tiriti</w:t>
        </w:r>
        <w:proofErr w:type="spellEnd"/>
        <w:r w:rsidRPr="6B328A4F">
          <w:rPr>
            <w:rStyle w:val="Hyperlink"/>
            <w:rFonts w:eastAsia="Arial" w:cs="Arial"/>
            <w:szCs w:val="24"/>
            <w:lang w:val="en-US"/>
          </w:rPr>
          <w:t xml:space="preserve"> o Waitangi</w:t>
        </w:r>
      </w:hyperlink>
      <w:r w:rsidRPr="6B328A4F">
        <w:rPr>
          <w:rFonts w:eastAsia="Arial" w:cs="Arial"/>
          <w:color w:val="000000" w:themeColor="text1"/>
          <w:szCs w:val="24"/>
          <w:lang w:val="en-US"/>
        </w:rPr>
        <w:t xml:space="preserve"> as the founding document of Aotearoa New </w:t>
      </w:r>
      <w:proofErr w:type="gramStart"/>
      <w:r w:rsidRPr="6B328A4F">
        <w:rPr>
          <w:rFonts w:eastAsia="Arial" w:cs="Arial"/>
          <w:color w:val="000000" w:themeColor="text1"/>
          <w:szCs w:val="24"/>
          <w:lang w:val="en-US"/>
        </w:rPr>
        <w:t>Zealand;</w:t>
      </w:r>
      <w:proofErr w:type="gramEnd"/>
    </w:p>
    <w:p w14:paraId="5CAE7252" w14:textId="6F4C2179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disabled people as experts on their own </w:t>
      </w:r>
      <w:proofErr w:type="gramStart"/>
      <w:r w:rsidRPr="6B328A4F">
        <w:rPr>
          <w:rFonts w:eastAsia="Arial" w:cs="Arial"/>
          <w:color w:val="000000" w:themeColor="text1"/>
          <w:szCs w:val="24"/>
          <w:lang w:val="en-US"/>
        </w:rPr>
        <w:t>lives;</w:t>
      </w:r>
      <w:proofErr w:type="gramEnd"/>
    </w:p>
    <w:p w14:paraId="3BF9DE68" w14:textId="54051BE5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3">
        <w:r w:rsidRPr="6B328A4F">
          <w:rPr>
            <w:rStyle w:val="Hyperlink"/>
            <w:rFonts w:eastAsia="Arial" w:cs="Arial"/>
            <w:szCs w:val="24"/>
            <w:lang w:val="en-US"/>
          </w:rPr>
          <w:t>Social Model of Disability</w:t>
        </w:r>
      </w:hyperlink>
      <w:r w:rsidRPr="6B328A4F">
        <w:rPr>
          <w:rFonts w:eastAsia="Arial" w:cs="Arial"/>
          <w:color w:val="000000" w:themeColor="text1"/>
          <w:szCs w:val="24"/>
          <w:lang w:val="en-US"/>
        </w:rPr>
        <w:t xml:space="preserve"> as the guiding principle for interpreting disability and </w:t>
      </w:r>
      <w:proofErr w:type="gramStart"/>
      <w:r w:rsidRPr="6B328A4F">
        <w:rPr>
          <w:rFonts w:eastAsia="Arial" w:cs="Arial"/>
          <w:color w:val="000000" w:themeColor="text1"/>
          <w:szCs w:val="24"/>
          <w:lang w:val="en-US"/>
        </w:rPr>
        <w:t>impairment;</w:t>
      </w:r>
      <w:proofErr w:type="gramEnd"/>
      <w:r w:rsidRPr="6B328A4F">
        <w:rPr>
          <w:rFonts w:eastAsia="Arial" w:cs="Arial"/>
          <w:color w:val="000000" w:themeColor="text1"/>
          <w:szCs w:val="24"/>
          <w:lang w:val="en-US"/>
        </w:rPr>
        <w:t xml:space="preserve"> </w:t>
      </w:r>
    </w:p>
    <w:p w14:paraId="7587423E" w14:textId="1185FB64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4">
        <w:r w:rsidRPr="6B328A4F">
          <w:rPr>
            <w:rStyle w:val="Hyperlink"/>
            <w:rFonts w:eastAsia="Arial" w:cs="Arial"/>
            <w:szCs w:val="24"/>
            <w:lang w:val="en-US"/>
          </w:rPr>
          <w:t>United Nations Convention on the Rights of Persons with Disabilities</w:t>
        </w:r>
      </w:hyperlink>
      <w:r w:rsidRPr="6B328A4F">
        <w:rPr>
          <w:rFonts w:eastAsia="Arial" w:cs="Arial"/>
          <w:color w:val="000000" w:themeColor="text1"/>
          <w:szCs w:val="24"/>
          <w:lang w:val="en-US"/>
        </w:rPr>
        <w:t xml:space="preserve"> as the basis for disabled people’s relationship with the State;</w:t>
      </w:r>
    </w:p>
    <w:p w14:paraId="6AE6F6AB" w14:textId="0B522F9E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5">
        <w:r w:rsidRPr="6B328A4F">
          <w:rPr>
            <w:rStyle w:val="Hyperlink"/>
            <w:rFonts w:eastAsia="Arial" w:cs="Arial"/>
            <w:szCs w:val="24"/>
            <w:lang w:val="en-US"/>
          </w:rPr>
          <w:t>New Zealand Disability Strategy</w:t>
        </w:r>
      </w:hyperlink>
      <w:r w:rsidRPr="6B328A4F">
        <w:rPr>
          <w:rFonts w:eastAsia="Arial" w:cs="Arial"/>
          <w:color w:val="000000" w:themeColor="text1"/>
          <w:szCs w:val="24"/>
          <w:lang w:val="en-US"/>
        </w:rPr>
        <w:t xml:space="preserve"> as Government agencies’ guide on disability issues; and </w:t>
      </w:r>
    </w:p>
    <w:p w14:paraId="0F13F150" w14:textId="25FA671D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6">
        <w:r w:rsidRPr="6B328A4F">
          <w:rPr>
            <w:rStyle w:val="Hyperlink"/>
            <w:rFonts w:eastAsia="Arial" w:cs="Arial"/>
            <w:szCs w:val="24"/>
            <w:lang w:val="en-US"/>
          </w:rPr>
          <w:t>Enabling Good Lives Principles</w:t>
        </w:r>
      </w:hyperlink>
      <w:r w:rsidRPr="6B328A4F">
        <w:rPr>
          <w:rFonts w:eastAsia="Arial" w:cs="Arial"/>
          <w:color w:val="000000" w:themeColor="text1"/>
          <w:szCs w:val="24"/>
          <w:lang w:val="en-US"/>
        </w:rPr>
        <w:t xml:space="preserve">, </w:t>
      </w:r>
      <w:hyperlink r:id="rId17">
        <w:proofErr w:type="spellStart"/>
        <w:r w:rsidRPr="6B328A4F">
          <w:rPr>
            <w:rStyle w:val="Hyperlink"/>
            <w:rFonts w:eastAsia="Arial" w:cs="Arial"/>
            <w:szCs w:val="24"/>
          </w:rPr>
          <w:t>Whāia</w:t>
        </w:r>
        <w:proofErr w:type="spellEnd"/>
        <w:r w:rsidRPr="6B328A4F">
          <w:rPr>
            <w:rStyle w:val="Hyperlink"/>
            <w:rFonts w:eastAsia="Arial" w:cs="Arial"/>
            <w:szCs w:val="24"/>
          </w:rPr>
          <w:t xml:space="preserve"> Te </w:t>
        </w:r>
        <w:proofErr w:type="spellStart"/>
        <w:r w:rsidRPr="6B328A4F">
          <w:rPr>
            <w:rStyle w:val="Hyperlink"/>
            <w:rFonts w:eastAsia="Arial" w:cs="Arial"/>
            <w:szCs w:val="24"/>
          </w:rPr>
          <w:t>Ao</w:t>
        </w:r>
        <w:proofErr w:type="spellEnd"/>
        <w:r w:rsidRPr="6B328A4F">
          <w:rPr>
            <w:rStyle w:val="Hyperlink"/>
            <w:rFonts w:eastAsia="Arial" w:cs="Arial"/>
            <w:szCs w:val="24"/>
          </w:rPr>
          <w:t xml:space="preserve"> </w:t>
        </w:r>
        <w:proofErr w:type="spellStart"/>
        <w:r w:rsidRPr="6B328A4F">
          <w:rPr>
            <w:rStyle w:val="Hyperlink"/>
            <w:rFonts w:eastAsia="Arial" w:cs="Arial"/>
            <w:szCs w:val="24"/>
          </w:rPr>
          <w:t>Mārama</w:t>
        </w:r>
        <w:proofErr w:type="spellEnd"/>
        <w:r w:rsidRPr="6B328A4F">
          <w:rPr>
            <w:rStyle w:val="Hyperlink"/>
            <w:rFonts w:eastAsia="Arial" w:cs="Arial"/>
            <w:szCs w:val="24"/>
          </w:rPr>
          <w:t>: Māori Disability Action Plan</w:t>
        </w:r>
      </w:hyperlink>
      <w:r w:rsidRPr="6B328A4F">
        <w:rPr>
          <w:rFonts w:eastAsia="Arial" w:cs="Arial"/>
          <w:color w:val="000000" w:themeColor="text1"/>
          <w:szCs w:val="24"/>
        </w:rPr>
        <w:t xml:space="preserve">, and </w:t>
      </w:r>
      <w:hyperlink r:id="rId18">
        <w:proofErr w:type="spellStart"/>
        <w:r w:rsidRPr="6B328A4F">
          <w:rPr>
            <w:rStyle w:val="Hyperlink"/>
            <w:rFonts w:eastAsia="Arial" w:cs="Arial"/>
            <w:szCs w:val="24"/>
          </w:rPr>
          <w:t>Faiva</w:t>
        </w:r>
        <w:proofErr w:type="spellEnd"/>
        <w:r w:rsidRPr="6B328A4F">
          <w:rPr>
            <w:rStyle w:val="Hyperlink"/>
            <w:rFonts w:eastAsia="Arial" w:cs="Arial"/>
            <w:szCs w:val="24"/>
          </w:rPr>
          <w:t xml:space="preserve"> Ora: National Pasifika Disability </w:t>
        </w:r>
        <w:proofErr w:type="spellStart"/>
        <w:r w:rsidRPr="6B328A4F">
          <w:rPr>
            <w:rStyle w:val="Hyperlink"/>
            <w:rFonts w:eastAsia="Arial" w:cs="Arial"/>
            <w:szCs w:val="24"/>
          </w:rPr>
          <w:t>Disability</w:t>
        </w:r>
        <w:proofErr w:type="spellEnd"/>
        <w:r w:rsidRPr="6B328A4F">
          <w:rPr>
            <w:rStyle w:val="Hyperlink"/>
            <w:rFonts w:eastAsia="Arial" w:cs="Arial"/>
            <w:szCs w:val="24"/>
          </w:rPr>
          <w:t xml:space="preserve"> Plan</w:t>
        </w:r>
      </w:hyperlink>
      <w:r w:rsidRPr="6B328A4F">
        <w:rPr>
          <w:rFonts w:eastAsia="Arial" w:cs="Arial"/>
          <w:color w:val="000000" w:themeColor="text1"/>
          <w:szCs w:val="24"/>
        </w:rPr>
        <w:t xml:space="preserve"> </w:t>
      </w:r>
      <w:r w:rsidRPr="6B328A4F">
        <w:rPr>
          <w:rFonts w:eastAsia="Arial" w:cs="Arial"/>
          <w:color w:val="000000" w:themeColor="text1"/>
          <w:szCs w:val="24"/>
          <w:lang w:val="en-US"/>
        </w:rPr>
        <w:t xml:space="preserve">as avenues to disabled people gaining greater choice and control over their lives and supports. </w:t>
      </w:r>
    </w:p>
    <w:p w14:paraId="5D897DE0" w14:textId="7F68C9C4" w:rsidR="00634AEC" w:rsidRPr="006F2712" w:rsidRDefault="29DA147F" w:rsidP="3EFEE661">
      <w:pPr>
        <w:rPr>
          <w:rFonts w:eastAsia="Arial" w:cs="Arial"/>
          <w:color w:val="000000" w:themeColor="text1"/>
          <w:szCs w:val="24"/>
        </w:rPr>
      </w:pPr>
      <w:r w:rsidRPr="3EFEE661">
        <w:rPr>
          <w:rFonts w:eastAsia="Arial" w:cs="Arial"/>
          <w:b/>
          <w:bCs/>
          <w:color w:val="000000" w:themeColor="text1"/>
          <w:szCs w:val="24"/>
          <w:lang w:val="en-US"/>
        </w:rPr>
        <w:t xml:space="preserve">We drive systemic change through: </w:t>
      </w:r>
    </w:p>
    <w:p w14:paraId="0B81651B" w14:textId="40CB439D" w:rsidR="00634AEC" w:rsidRPr="006F2712" w:rsidRDefault="29DA147F" w:rsidP="3EFEE661">
      <w:pPr>
        <w:rPr>
          <w:rFonts w:eastAsia="Arial" w:cs="Arial"/>
          <w:color w:val="000000" w:themeColor="text1"/>
          <w:szCs w:val="24"/>
        </w:rPr>
      </w:pPr>
      <w:r w:rsidRPr="3EFEE661">
        <w:rPr>
          <w:rFonts w:eastAsia="Arial" w:cs="Arial"/>
          <w:b/>
          <w:bCs/>
          <w:color w:val="000000" w:themeColor="text1"/>
          <w:szCs w:val="24"/>
        </w:rPr>
        <w:t xml:space="preserve">Leadership: </w:t>
      </w:r>
      <w:r w:rsidRPr="3EFEE661">
        <w:rPr>
          <w:rFonts w:eastAsia="Arial" w:cs="Arial"/>
          <w:color w:val="000000" w:themeColor="text1"/>
          <w:szCs w:val="24"/>
        </w:rPr>
        <w:t xml:space="preserve">reflecting the collective voice of disabled people, locally, </w:t>
      </w:r>
      <w:proofErr w:type="gramStart"/>
      <w:r w:rsidRPr="3EFEE661">
        <w:rPr>
          <w:rFonts w:eastAsia="Arial" w:cs="Arial"/>
          <w:color w:val="000000" w:themeColor="text1"/>
          <w:szCs w:val="24"/>
        </w:rPr>
        <w:t>nationally</w:t>
      </w:r>
      <w:proofErr w:type="gramEnd"/>
      <w:r w:rsidRPr="3EFEE661">
        <w:rPr>
          <w:rFonts w:eastAsia="Arial" w:cs="Arial"/>
          <w:color w:val="000000" w:themeColor="text1"/>
          <w:szCs w:val="24"/>
        </w:rPr>
        <w:t xml:space="preserve"> and internationally. </w:t>
      </w:r>
    </w:p>
    <w:p w14:paraId="24A75382" w14:textId="19B7F301" w:rsidR="00634AEC" w:rsidRPr="006F2712" w:rsidRDefault="29DA147F" w:rsidP="4E7C6717">
      <w:pPr>
        <w:rPr>
          <w:rFonts w:eastAsia="Arial" w:cs="Arial"/>
          <w:color w:val="000000" w:themeColor="text1"/>
          <w:szCs w:val="24"/>
        </w:rPr>
      </w:pPr>
      <w:r w:rsidRPr="4E7C6717">
        <w:rPr>
          <w:rFonts w:eastAsia="Arial" w:cs="Arial"/>
          <w:b/>
          <w:bCs/>
          <w:color w:val="000000" w:themeColor="text1"/>
          <w:szCs w:val="24"/>
        </w:rPr>
        <w:t xml:space="preserve">Information and advice: </w:t>
      </w:r>
      <w:r w:rsidRPr="4E7C6717">
        <w:rPr>
          <w:rFonts w:eastAsia="Arial" w:cs="Arial"/>
          <w:color w:val="000000" w:themeColor="text1"/>
          <w:szCs w:val="24"/>
        </w:rPr>
        <w:t>informing and advising on policies impacting on the lives of disabled people.</w:t>
      </w:r>
    </w:p>
    <w:p w14:paraId="530708D3" w14:textId="27027A35" w:rsidR="00634AEC" w:rsidRPr="006F2712" w:rsidRDefault="29DA147F" w:rsidP="4E7C6717">
      <w:pPr>
        <w:jc w:val="both"/>
        <w:rPr>
          <w:rFonts w:eastAsia="Arial" w:cs="Arial"/>
          <w:color w:val="000000" w:themeColor="text1"/>
          <w:szCs w:val="24"/>
        </w:rPr>
      </w:pPr>
      <w:r w:rsidRPr="4E7C6717">
        <w:rPr>
          <w:rFonts w:eastAsia="Arial" w:cs="Arial"/>
          <w:b/>
          <w:bCs/>
          <w:color w:val="000000" w:themeColor="text1"/>
          <w:szCs w:val="24"/>
        </w:rPr>
        <w:t xml:space="preserve">Advocacy: </w:t>
      </w:r>
      <w:r w:rsidRPr="4E7C6717">
        <w:rPr>
          <w:rFonts w:eastAsia="Arial" w:cs="Arial"/>
          <w:color w:val="000000" w:themeColor="text1"/>
          <w:szCs w:val="24"/>
        </w:rPr>
        <w:t>supporting disabled people to have a voice, including a collective voice, in society.</w:t>
      </w:r>
    </w:p>
    <w:p w14:paraId="69DF0191" w14:textId="578F327D" w:rsidR="00634AEC" w:rsidRPr="006F2712" w:rsidRDefault="29DA147F" w:rsidP="4E7C6717">
      <w:pPr>
        <w:jc w:val="both"/>
        <w:rPr>
          <w:rFonts w:eastAsia="Arial" w:cs="Arial"/>
          <w:color w:val="000000" w:themeColor="text1"/>
          <w:szCs w:val="24"/>
        </w:rPr>
      </w:pPr>
      <w:r w:rsidRPr="4E7C6717">
        <w:rPr>
          <w:rFonts w:eastAsia="Arial" w:cs="Arial"/>
          <w:b/>
          <w:bCs/>
          <w:color w:val="000000" w:themeColor="text1"/>
          <w:szCs w:val="24"/>
        </w:rPr>
        <w:t xml:space="preserve">Monitoring: </w:t>
      </w:r>
      <w:r w:rsidRPr="4E7C6717">
        <w:rPr>
          <w:rFonts w:eastAsia="Arial" w:cs="Arial"/>
          <w:color w:val="000000" w:themeColor="text1"/>
          <w:szCs w:val="24"/>
        </w:rPr>
        <w:t xml:space="preserve">monitoring and giving feedback on existing laws, </w:t>
      </w:r>
      <w:proofErr w:type="gramStart"/>
      <w:r w:rsidRPr="4E7C6717">
        <w:rPr>
          <w:rFonts w:eastAsia="Arial" w:cs="Arial"/>
          <w:color w:val="000000" w:themeColor="text1"/>
          <w:szCs w:val="24"/>
        </w:rPr>
        <w:t>policies</w:t>
      </w:r>
      <w:proofErr w:type="gramEnd"/>
      <w:r w:rsidRPr="4E7C6717">
        <w:rPr>
          <w:rFonts w:eastAsia="Arial" w:cs="Arial"/>
          <w:color w:val="000000" w:themeColor="text1"/>
          <w:szCs w:val="24"/>
        </w:rPr>
        <w:t xml:space="preserve"> and practices about and relevant to disabled people.</w:t>
      </w:r>
    </w:p>
    <w:p w14:paraId="1368214B" w14:textId="736E1CAF" w:rsidR="00634AEC" w:rsidRPr="006F2712" w:rsidRDefault="004D53A5" w:rsidP="6B328A4F">
      <w:pPr>
        <w:pStyle w:val="Heading1"/>
        <w:spacing w:before="240" w:after="0" w:line="360" w:lineRule="auto"/>
        <w:rPr>
          <w:rFonts w:ascii="Arial" w:eastAsia="Arial" w:hAnsi="Arial"/>
        </w:rPr>
      </w:pPr>
      <w:r w:rsidRPr="3B39AFF9">
        <w:rPr>
          <w:rFonts w:ascii="Arial" w:eastAsia="Arial" w:hAnsi="Arial"/>
        </w:rPr>
        <w:lastRenderedPageBreak/>
        <w:t xml:space="preserve">The submission </w:t>
      </w:r>
    </w:p>
    <w:p w14:paraId="46244EA8" w14:textId="230CAE9C" w:rsidR="1ECC7D34" w:rsidRDefault="00C5373A" w:rsidP="3B39AFF9">
      <w:pPr>
        <w:rPr>
          <w:rStyle w:val="normaltextrun"/>
          <w:color w:val="000000" w:themeColor="text1"/>
        </w:rPr>
      </w:pPr>
      <w:r w:rsidRPr="3B39AFF9">
        <w:rPr>
          <w:rStyle w:val="normaltextrun"/>
          <w:color w:val="000000" w:themeColor="text1"/>
        </w:rPr>
        <w:t xml:space="preserve">DPA is providing this submission for </w:t>
      </w:r>
      <w:r w:rsidR="7A41FAA9" w:rsidRPr="3B39AFF9">
        <w:rPr>
          <w:rStyle w:val="normaltextrun"/>
          <w:color w:val="000000" w:themeColor="text1"/>
        </w:rPr>
        <w:t xml:space="preserve">the benefit of the </w:t>
      </w:r>
      <w:r w:rsidR="1B5271AB" w:rsidRPr="3B39AFF9">
        <w:rPr>
          <w:rStyle w:val="normaltextrun"/>
          <w:color w:val="000000" w:themeColor="text1"/>
        </w:rPr>
        <w:t>Dunedin City Council in its deliberations over whether to build a Destination Playground</w:t>
      </w:r>
      <w:r w:rsidR="177E7F3D" w:rsidRPr="3B39AFF9">
        <w:rPr>
          <w:rStyle w:val="normaltextrun"/>
          <w:color w:val="000000" w:themeColor="text1"/>
        </w:rPr>
        <w:t xml:space="preserve"> (or playgrounds)</w:t>
      </w:r>
      <w:r w:rsidR="1B5271AB" w:rsidRPr="3B39AFF9">
        <w:rPr>
          <w:rStyle w:val="normaltextrun"/>
          <w:color w:val="000000" w:themeColor="text1"/>
        </w:rPr>
        <w:t xml:space="preserve"> in Dunedin</w:t>
      </w:r>
      <w:r w:rsidR="7A41FAA9" w:rsidRPr="3B39AFF9">
        <w:rPr>
          <w:rStyle w:val="normaltextrun"/>
          <w:color w:val="000000" w:themeColor="text1"/>
        </w:rPr>
        <w:t>.</w:t>
      </w:r>
    </w:p>
    <w:p w14:paraId="50B2A260" w14:textId="397E554D" w:rsidR="2A1117B6" w:rsidRDefault="3F2CBA9F" w:rsidP="3B39AFF9">
      <w:pPr>
        <w:rPr>
          <w:rStyle w:val="normaltextrun"/>
          <w:color w:val="000000" w:themeColor="text1"/>
        </w:rPr>
      </w:pPr>
      <w:r w:rsidRPr="3EFEE661">
        <w:rPr>
          <w:rStyle w:val="normaltextrun"/>
          <w:color w:val="000000" w:themeColor="text1"/>
        </w:rPr>
        <w:t>DPA supports the idea of building a destination playground</w:t>
      </w:r>
      <w:r w:rsidR="1336203A" w:rsidRPr="3EFEE661">
        <w:rPr>
          <w:rStyle w:val="normaltextrun"/>
          <w:color w:val="000000" w:themeColor="text1"/>
        </w:rPr>
        <w:t xml:space="preserve"> or playgrounds</w:t>
      </w:r>
      <w:r w:rsidRPr="3EFEE661">
        <w:rPr>
          <w:rStyle w:val="normaltextrun"/>
          <w:color w:val="000000" w:themeColor="text1"/>
        </w:rPr>
        <w:t xml:space="preserve"> in </w:t>
      </w:r>
      <w:r w:rsidR="485F6906" w:rsidRPr="3EFEE661">
        <w:rPr>
          <w:rStyle w:val="normaltextrun"/>
          <w:color w:val="000000" w:themeColor="text1"/>
        </w:rPr>
        <w:t>the city</w:t>
      </w:r>
      <w:r w:rsidRPr="3EFEE661">
        <w:rPr>
          <w:rStyle w:val="normaltextrun"/>
          <w:color w:val="000000" w:themeColor="text1"/>
        </w:rPr>
        <w:t>.</w:t>
      </w:r>
      <w:r w:rsidR="18E7A186" w:rsidRPr="3EFEE661">
        <w:rPr>
          <w:rStyle w:val="normaltextrun"/>
          <w:color w:val="000000" w:themeColor="text1"/>
        </w:rPr>
        <w:t xml:space="preserve"> </w:t>
      </w:r>
      <w:r w:rsidR="4661EAD8" w:rsidRPr="3EFEE661">
        <w:rPr>
          <w:rStyle w:val="normaltextrun"/>
          <w:color w:val="000000" w:themeColor="text1"/>
        </w:rPr>
        <w:t>We do not have a preference whether this is in the form of a</w:t>
      </w:r>
      <w:r w:rsidR="6668A61C" w:rsidRPr="3EFEE661">
        <w:rPr>
          <w:rStyle w:val="normaltextrun"/>
          <w:color w:val="000000" w:themeColor="text1"/>
        </w:rPr>
        <w:t xml:space="preserve"> single destination playground (as is the case with the Margaret </w:t>
      </w:r>
      <w:proofErr w:type="spellStart"/>
      <w:r w:rsidR="6668A61C" w:rsidRPr="3EFEE661">
        <w:rPr>
          <w:rStyle w:val="normaltextrun"/>
          <w:color w:val="000000" w:themeColor="text1"/>
        </w:rPr>
        <w:t>Mahy</w:t>
      </w:r>
      <w:proofErr w:type="spellEnd"/>
      <w:r w:rsidR="6668A61C" w:rsidRPr="3EFEE661">
        <w:rPr>
          <w:rStyle w:val="normaltextrun"/>
          <w:color w:val="000000" w:themeColor="text1"/>
        </w:rPr>
        <w:t xml:space="preserve"> Playground in Christchurch) or a</w:t>
      </w:r>
      <w:r w:rsidR="7095077C" w:rsidRPr="3EFEE661">
        <w:rPr>
          <w:rStyle w:val="normaltextrun"/>
          <w:color w:val="000000" w:themeColor="text1"/>
        </w:rPr>
        <w:t xml:space="preserve">s to whether a </w:t>
      </w:r>
      <w:r w:rsidR="6668A61C" w:rsidRPr="3EFEE661">
        <w:rPr>
          <w:rStyle w:val="normaltextrun"/>
          <w:color w:val="000000" w:themeColor="text1"/>
        </w:rPr>
        <w:t>number of these</w:t>
      </w:r>
      <w:r w:rsidR="130630B9" w:rsidRPr="3EFEE661">
        <w:rPr>
          <w:rStyle w:val="normaltextrun"/>
          <w:color w:val="000000" w:themeColor="text1"/>
        </w:rPr>
        <w:t xml:space="preserve"> should be</w:t>
      </w:r>
      <w:r w:rsidR="6668A61C" w:rsidRPr="3EFEE661">
        <w:rPr>
          <w:rStyle w:val="normaltextrun"/>
          <w:color w:val="000000" w:themeColor="text1"/>
        </w:rPr>
        <w:t xml:space="preserve"> located around the city.</w:t>
      </w:r>
    </w:p>
    <w:p w14:paraId="6B0B2560" w14:textId="187DA486" w:rsidR="2A1117B6" w:rsidRDefault="6668A61C" w:rsidP="3B39AFF9">
      <w:pPr>
        <w:rPr>
          <w:rStyle w:val="normaltextrun"/>
          <w:color w:val="000000" w:themeColor="text1"/>
        </w:rPr>
      </w:pPr>
      <w:r w:rsidRPr="3EFEE661">
        <w:rPr>
          <w:rStyle w:val="normaltextrun"/>
          <w:color w:val="000000" w:themeColor="text1"/>
        </w:rPr>
        <w:t>DPA recommends that any destination playgrounds be built to universal design accessibility standards</w:t>
      </w:r>
      <w:r w:rsidR="60252096" w:rsidRPr="3EFEE661">
        <w:rPr>
          <w:rStyle w:val="normaltextrun"/>
          <w:color w:val="000000" w:themeColor="text1"/>
        </w:rPr>
        <w:t xml:space="preserve"> and provide play equipment and other features</w:t>
      </w:r>
      <w:r w:rsidR="5F2890A9" w:rsidRPr="3EFEE661">
        <w:rPr>
          <w:rStyle w:val="normaltextrun"/>
          <w:color w:val="000000" w:themeColor="text1"/>
        </w:rPr>
        <w:t>, for example, water play,</w:t>
      </w:r>
      <w:r w:rsidR="60252096" w:rsidRPr="3EFEE661">
        <w:rPr>
          <w:rStyle w:val="normaltextrun"/>
          <w:color w:val="000000" w:themeColor="text1"/>
        </w:rPr>
        <w:t xml:space="preserve"> which can be enjoyed by everyone, including disabled children and adults. </w:t>
      </w:r>
    </w:p>
    <w:p w14:paraId="09785CA6" w14:textId="11597794" w:rsidR="2A1117B6" w:rsidRDefault="60252096" w:rsidP="2A1117B6">
      <w:pPr>
        <w:rPr>
          <w:rStyle w:val="normaltextrun"/>
          <w:color w:val="000000" w:themeColor="text1"/>
        </w:rPr>
      </w:pPr>
      <w:r w:rsidRPr="3B39AFF9">
        <w:rPr>
          <w:rStyle w:val="normaltextrun"/>
          <w:color w:val="000000" w:themeColor="text1"/>
        </w:rPr>
        <w:t xml:space="preserve">DPA recommends that, during the next phase of </w:t>
      </w:r>
      <w:r w:rsidR="7C6A6953" w:rsidRPr="3B39AFF9">
        <w:rPr>
          <w:rStyle w:val="normaltextrun"/>
          <w:color w:val="000000" w:themeColor="text1"/>
        </w:rPr>
        <w:t>consultation on destination playgrounds</w:t>
      </w:r>
      <w:r w:rsidRPr="3B39AFF9">
        <w:rPr>
          <w:rStyle w:val="normaltextrun"/>
          <w:color w:val="000000" w:themeColor="text1"/>
        </w:rPr>
        <w:t xml:space="preserve">, that </w:t>
      </w:r>
      <w:r w:rsidR="6BF11978" w:rsidRPr="3B39AFF9">
        <w:rPr>
          <w:rStyle w:val="normaltextrun"/>
          <w:color w:val="000000" w:themeColor="text1"/>
        </w:rPr>
        <w:t>we</w:t>
      </w:r>
      <w:r w:rsidR="77B5E1FC" w:rsidRPr="3B39AFF9">
        <w:rPr>
          <w:rStyle w:val="normaltextrun"/>
          <w:color w:val="000000" w:themeColor="text1"/>
        </w:rPr>
        <w:t>,</w:t>
      </w:r>
      <w:r w:rsidRPr="3B39AFF9">
        <w:rPr>
          <w:rStyle w:val="normaltextrun"/>
          <w:color w:val="000000" w:themeColor="text1"/>
        </w:rPr>
        <w:t xml:space="preserve"> alongside the Access for All Dunedin Group (comprised of disabled people, disabled people’s </w:t>
      </w:r>
      <w:proofErr w:type="gramStart"/>
      <w:r w:rsidRPr="3B39AFF9">
        <w:rPr>
          <w:rStyle w:val="normaltextrun"/>
          <w:color w:val="000000" w:themeColor="text1"/>
        </w:rPr>
        <w:t>organisations</w:t>
      </w:r>
      <w:proofErr w:type="gramEnd"/>
      <w:r w:rsidRPr="3B39AFF9">
        <w:rPr>
          <w:rStyle w:val="normaltextrun"/>
          <w:color w:val="000000" w:themeColor="text1"/>
        </w:rPr>
        <w:t xml:space="preserve"> and service provider representatives) and</w:t>
      </w:r>
      <w:r w:rsidR="255870BD" w:rsidRPr="3B39AFF9">
        <w:rPr>
          <w:rStyle w:val="normaltextrun"/>
          <w:color w:val="000000" w:themeColor="text1"/>
        </w:rPr>
        <w:t xml:space="preserve"> the</w:t>
      </w:r>
      <w:r w:rsidR="5024FB48" w:rsidRPr="3B39AFF9">
        <w:rPr>
          <w:rStyle w:val="normaltextrun"/>
          <w:color w:val="000000" w:themeColor="text1"/>
        </w:rPr>
        <w:t xml:space="preserve"> City</w:t>
      </w:r>
      <w:r w:rsidR="255870BD" w:rsidRPr="3B39AFF9">
        <w:rPr>
          <w:rStyle w:val="normaltextrun"/>
          <w:color w:val="000000" w:themeColor="text1"/>
        </w:rPr>
        <w:t xml:space="preserve"> Council’s</w:t>
      </w:r>
      <w:r w:rsidRPr="3B39AFF9">
        <w:rPr>
          <w:rStyle w:val="normaltextrun"/>
          <w:color w:val="000000" w:themeColor="text1"/>
        </w:rPr>
        <w:t xml:space="preserve"> Disability Issues Adv</w:t>
      </w:r>
      <w:r w:rsidR="4707D24E" w:rsidRPr="3B39AFF9">
        <w:rPr>
          <w:rStyle w:val="normaltextrun"/>
          <w:color w:val="000000" w:themeColor="text1"/>
        </w:rPr>
        <w:t xml:space="preserve">isory Group </w:t>
      </w:r>
      <w:r w:rsidR="2EA0B007" w:rsidRPr="3B39AFF9">
        <w:rPr>
          <w:rStyle w:val="normaltextrun"/>
          <w:color w:val="000000" w:themeColor="text1"/>
        </w:rPr>
        <w:t xml:space="preserve">be involved as co-design partners in this </w:t>
      </w:r>
      <w:r w:rsidR="767E9173" w:rsidRPr="3B39AFF9">
        <w:rPr>
          <w:rStyle w:val="normaltextrun"/>
          <w:color w:val="000000" w:themeColor="text1"/>
        </w:rPr>
        <w:t>project, should it be given the go-ahead by Council.</w:t>
      </w:r>
    </w:p>
    <w:p w14:paraId="3D5B5AAC" w14:textId="42C25105" w:rsidR="003E3C38" w:rsidRDefault="003E3C38" w:rsidP="6B328A4F">
      <w:pPr>
        <w:pStyle w:val="Heading1"/>
        <w:rPr>
          <w:rFonts w:ascii="Arial" w:eastAsia="Arial" w:hAnsi="Arial"/>
        </w:rPr>
      </w:pPr>
      <w:r w:rsidRPr="6B328A4F">
        <w:rPr>
          <w:rFonts w:ascii="Arial" w:eastAsia="Arial" w:hAnsi="Arial"/>
        </w:rPr>
        <w:t>DPA’s recommendations</w:t>
      </w:r>
    </w:p>
    <w:p w14:paraId="74B24642" w14:textId="12573F33" w:rsidR="003E3C38" w:rsidRDefault="004D53A5" w:rsidP="003E3C38">
      <w:pPr>
        <w:rPr>
          <w:rFonts w:cs="Arial"/>
        </w:rPr>
      </w:pPr>
      <w:r w:rsidRPr="6B328A4F">
        <w:rPr>
          <w:rFonts w:cs="Arial"/>
        </w:rPr>
        <w:t>The Disabled Person’s Assembly recommends</w:t>
      </w:r>
      <w:r w:rsidR="00193F86" w:rsidRPr="6B328A4F">
        <w:rPr>
          <w:rFonts w:cs="Arial"/>
        </w:rPr>
        <w:t>:</w:t>
      </w:r>
    </w:p>
    <w:p w14:paraId="6FF9E3C3" w14:textId="445D4C98" w:rsidR="00193F86" w:rsidRDefault="00496A4F" w:rsidP="3B39AFF9">
      <w:pPr>
        <w:pStyle w:val="ListParagraph"/>
        <w:numPr>
          <w:ilvl w:val="0"/>
          <w:numId w:val="20"/>
        </w:numPr>
        <w:rPr>
          <w:rStyle w:val="normaltextrun"/>
          <w:color w:val="000000" w:themeColor="text1"/>
        </w:rPr>
      </w:pPr>
      <w:r w:rsidRPr="3B39AFF9">
        <w:rPr>
          <w:rFonts w:cs="Arial"/>
          <w:b/>
          <w:bCs/>
        </w:rPr>
        <w:t>Recommendation</w:t>
      </w:r>
      <w:r w:rsidR="58FF75F1" w:rsidRPr="3B39AFF9">
        <w:rPr>
          <w:rFonts w:cs="Arial"/>
          <w:b/>
          <w:bCs/>
        </w:rPr>
        <w:t xml:space="preserve"> 1:</w:t>
      </w:r>
      <w:r w:rsidR="58FF75F1" w:rsidRPr="3B39AFF9">
        <w:rPr>
          <w:rFonts w:cs="Arial"/>
        </w:rPr>
        <w:t xml:space="preserve"> T</w:t>
      </w:r>
      <w:r w:rsidR="58FF75F1" w:rsidRPr="3B39AFF9">
        <w:rPr>
          <w:rStyle w:val="normaltextrun"/>
          <w:color w:val="000000" w:themeColor="text1"/>
        </w:rPr>
        <w:t>hat any destination playgrounds be built to universal design accessibility standards and provide play equipment and other features which can be enjoyed by everyone, including disabled children and adults.</w:t>
      </w:r>
    </w:p>
    <w:p w14:paraId="4B93C600" w14:textId="70B7F651" w:rsidR="00F90077" w:rsidRPr="00F90077" w:rsidRDefault="00496A4F" w:rsidP="3EFEE661">
      <w:pPr>
        <w:pStyle w:val="ListParagraph"/>
        <w:numPr>
          <w:ilvl w:val="0"/>
          <w:numId w:val="20"/>
        </w:numPr>
        <w:rPr>
          <w:rStyle w:val="normaltextrun"/>
          <w:color w:val="000000" w:themeColor="text1"/>
        </w:rPr>
      </w:pPr>
      <w:r w:rsidRPr="3EFEE661">
        <w:rPr>
          <w:rFonts w:cs="Arial"/>
          <w:b/>
          <w:bCs/>
        </w:rPr>
        <w:t>Recommendation</w:t>
      </w:r>
      <w:r w:rsidR="184B60CB" w:rsidRPr="3EFEE661">
        <w:rPr>
          <w:rFonts w:cs="Arial"/>
          <w:b/>
          <w:bCs/>
        </w:rPr>
        <w:t xml:space="preserve"> 2:</w:t>
      </w:r>
      <w:r w:rsidR="184B60CB" w:rsidRPr="3EFEE661">
        <w:rPr>
          <w:rFonts w:cs="Arial"/>
        </w:rPr>
        <w:t xml:space="preserve"> That</w:t>
      </w:r>
      <w:r w:rsidR="184B60CB" w:rsidRPr="3EFEE661">
        <w:rPr>
          <w:rStyle w:val="normaltextrun"/>
          <w:color w:val="000000" w:themeColor="text1"/>
        </w:rPr>
        <w:t xml:space="preserve"> during the next phase of consultations on destination playgrounds, </w:t>
      </w:r>
      <w:r w:rsidR="36E1EBFA" w:rsidRPr="3EFEE661">
        <w:rPr>
          <w:rStyle w:val="normaltextrun"/>
          <w:color w:val="000000" w:themeColor="text1"/>
        </w:rPr>
        <w:t xml:space="preserve">that DPA </w:t>
      </w:r>
      <w:r w:rsidR="184B60CB" w:rsidRPr="3EFEE661">
        <w:rPr>
          <w:rStyle w:val="normaltextrun"/>
          <w:color w:val="000000" w:themeColor="text1"/>
        </w:rPr>
        <w:t>alongside the Access for All Dunedin Group and the City Council’s Disability Issues Advisory Group be involved as co-design partners in this project</w:t>
      </w:r>
      <w:r w:rsidR="1614F1E4" w:rsidRPr="3EFEE661">
        <w:rPr>
          <w:rStyle w:val="normaltextrun"/>
          <w:color w:val="000000" w:themeColor="text1"/>
        </w:rPr>
        <w:t xml:space="preserve">. </w:t>
      </w:r>
    </w:p>
    <w:sectPr w:rsidR="00F90077" w:rsidRPr="00F90077" w:rsidSect="00634AE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D25A" w14:textId="77777777" w:rsidR="00136BA7" w:rsidRDefault="00136BA7" w:rsidP="00634AEC">
      <w:pPr>
        <w:spacing w:after="0" w:line="240" w:lineRule="auto"/>
      </w:pPr>
      <w:r>
        <w:separator/>
      </w:r>
    </w:p>
  </w:endnote>
  <w:endnote w:type="continuationSeparator" w:id="0">
    <w:p w14:paraId="119CF4AD" w14:textId="77777777" w:rsidR="00136BA7" w:rsidRDefault="00136BA7" w:rsidP="00634AEC">
      <w:pPr>
        <w:spacing w:after="0" w:line="240" w:lineRule="auto"/>
      </w:pPr>
      <w:r>
        <w:continuationSeparator/>
      </w:r>
    </w:p>
  </w:endnote>
  <w:endnote w:type="continuationNotice" w:id="1">
    <w:p w14:paraId="7554E968" w14:textId="77777777" w:rsidR="00136BA7" w:rsidRDefault="00136B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E6AE" w14:textId="77777777" w:rsidR="00953608" w:rsidRDefault="00953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910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46A29" w14:textId="4625DC2D" w:rsidR="00953608" w:rsidRDefault="009536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73CD37" w14:textId="77777777" w:rsidR="00953608" w:rsidRDefault="00953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D9E1" w14:textId="77777777" w:rsidR="00634AEC" w:rsidRDefault="00634AEC">
    <w:pPr>
      <w:pStyle w:val="Footer"/>
    </w:pPr>
    <w:r>
      <w:rPr>
        <w:noProof/>
        <w:lang w:eastAsia="en-NZ"/>
      </w:rPr>
      <w:drawing>
        <wp:anchor distT="0" distB="0" distL="114300" distR="114300" simplePos="0" relativeHeight="251662337" behindDoc="0" locked="1" layoutInCell="1" allowOverlap="0" wp14:anchorId="0F2BB3AF" wp14:editId="0E038F99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6500" cy="1044575"/>
          <wp:effectExtent l="0" t="0" r="6350" b="3175"/>
          <wp:wrapNone/>
          <wp:docPr id="6" name="Picture 4" descr="Level 4, 173-175 Victoria Street. PO Box 27524, Wellington, 6011, NZ. dpa.org.nz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A-Footer-Banner-Nov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445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A262" w14:textId="77777777" w:rsidR="00136BA7" w:rsidRDefault="00136BA7" w:rsidP="00634AEC">
      <w:pPr>
        <w:spacing w:after="0" w:line="240" w:lineRule="auto"/>
      </w:pPr>
      <w:r>
        <w:separator/>
      </w:r>
    </w:p>
  </w:footnote>
  <w:footnote w:type="continuationSeparator" w:id="0">
    <w:p w14:paraId="3B93C52C" w14:textId="77777777" w:rsidR="00136BA7" w:rsidRDefault="00136BA7" w:rsidP="00634AEC">
      <w:pPr>
        <w:spacing w:after="0" w:line="240" w:lineRule="auto"/>
      </w:pPr>
      <w:r>
        <w:continuationSeparator/>
      </w:r>
    </w:p>
  </w:footnote>
  <w:footnote w:type="continuationNotice" w:id="1">
    <w:p w14:paraId="2F64DFB9" w14:textId="77777777" w:rsidR="00136BA7" w:rsidRDefault="00136B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F313" w14:textId="77777777" w:rsidR="00953608" w:rsidRDefault="00953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EC6D" w14:textId="77777777" w:rsidR="00953608" w:rsidRDefault="009536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4A48" w14:textId="77777777" w:rsidR="00634AEC" w:rsidRDefault="00634AEC">
    <w:pPr>
      <w:pStyle w:val="Header"/>
    </w:pPr>
    <w:r>
      <w:rPr>
        <w:noProof/>
        <w:lang w:eastAsia="en-NZ"/>
      </w:rPr>
      <w:drawing>
        <wp:anchor distT="0" distB="540385" distL="114300" distR="114300" simplePos="0" relativeHeight="251660289" behindDoc="0" locked="1" layoutInCell="1" allowOverlap="0" wp14:anchorId="4A7EBB8C" wp14:editId="0EF00537">
          <wp:simplePos x="0" y="0"/>
          <wp:positionH relativeFrom="margin">
            <wp:align>center</wp:align>
          </wp:positionH>
          <wp:positionV relativeFrom="page">
            <wp:posOffset>314325</wp:posOffset>
          </wp:positionV>
          <wp:extent cx="6289675" cy="1947545"/>
          <wp:effectExtent l="0" t="0" r="0" b="0"/>
          <wp:wrapSquare wrapText="bothSides"/>
          <wp:docPr id="5" name="Picture 3" descr="A logo which says &quot;Disabled Persons Assembly NZ&quot;, and next to it is a stylised image which says &quot;A whole new attitud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A-Header-Banner-Nov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9675" cy="19475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37.5pt;height:26.25pt" o:bullet="t">
        <v:imagedata r:id="rId1" o:title="art1C51"/>
      </v:shape>
    </w:pict>
  </w:numPicBullet>
  <w:abstractNum w:abstractNumId="0" w15:restartNumberingAfterBreak="0">
    <w:nsid w:val="014D0CDD"/>
    <w:multiLevelType w:val="hybridMultilevel"/>
    <w:tmpl w:val="9C12EB82"/>
    <w:lvl w:ilvl="0" w:tplc="5F28FC44">
      <w:start w:val="2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BF022"/>
    <w:multiLevelType w:val="hybridMultilevel"/>
    <w:tmpl w:val="DF0C68AE"/>
    <w:lvl w:ilvl="0" w:tplc="3AB461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2AA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FC9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2F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8C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00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AC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C3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0C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D54"/>
    <w:multiLevelType w:val="hybridMultilevel"/>
    <w:tmpl w:val="CF56C8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376E"/>
    <w:multiLevelType w:val="hybridMultilevel"/>
    <w:tmpl w:val="656C6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0479"/>
    <w:multiLevelType w:val="multilevel"/>
    <w:tmpl w:val="842066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4562"/>
    <w:multiLevelType w:val="hybridMultilevel"/>
    <w:tmpl w:val="04347D0C"/>
    <w:lvl w:ilvl="0" w:tplc="B178B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CD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ED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26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CA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A5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CA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49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80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54AAE"/>
    <w:multiLevelType w:val="hybridMultilevel"/>
    <w:tmpl w:val="6D4A2C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267A9"/>
    <w:multiLevelType w:val="hybridMultilevel"/>
    <w:tmpl w:val="3080129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4A3674"/>
    <w:multiLevelType w:val="hybridMultilevel"/>
    <w:tmpl w:val="2A8C95FC"/>
    <w:lvl w:ilvl="0" w:tplc="73FCED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2AEDE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27C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6C2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21E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8B1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606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CE1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2A4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D9664B8"/>
    <w:multiLevelType w:val="hybridMultilevel"/>
    <w:tmpl w:val="580AD674"/>
    <w:lvl w:ilvl="0" w:tplc="FFFFFFFF">
      <w:start w:val="1"/>
      <w:numFmt w:val="bullet"/>
      <w:pStyle w:val="BodyBullets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B8D359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77AFB"/>
    <w:multiLevelType w:val="hybridMultilevel"/>
    <w:tmpl w:val="76AE5A18"/>
    <w:lvl w:ilvl="0" w:tplc="DF74F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03E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74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867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2F0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1080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046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4BF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C8B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A55917"/>
    <w:multiLevelType w:val="hybridMultilevel"/>
    <w:tmpl w:val="672EAF90"/>
    <w:lvl w:ilvl="0" w:tplc="6FFE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A50DE"/>
    <w:multiLevelType w:val="hybridMultilevel"/>
    <w:tmpl w:val="2EAE1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2458A"/>
    <w:multiLevelType w:val="hybridMultilevel"/>
    <w:tmpl w:val="066E2A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F4AC2"/>
    <w:multiLevelType w:val="hybridMultilevel"/>
    <w:tmpl w:val="850EF5CC"/>
    <w:lvl w:ilvl="0" w:tplc="5F28FC44">
      <w:start w:val="2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2EF8E6"/>
    <w:multiLevelType w:val="hybridMultilevel"/>
    <w:tmpl w:val="2A161980"/>
    <w:lvl w:ilvl="0" w:tplc="8D5EF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AE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A7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85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26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83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CB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ED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04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72A01"/>
    <w:multiLevelType w:val="hybridMultilevel"/>
    <w:tmpl w:val="AECAEBFC"/>
    <w:lvl w:ilvl="0" w:tplc="20A6E5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1767B"/>
    <w:multiLevelType w:val="hybridMultilevel"/>
    <w:tmpl w:val="8FC88822"/>
    <w:lvl w:ilvl="0" w:tplc="6CAEC658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53966"/>
    <w:multiLevelType w:val="hybridMultilevel"/>
    <w:tmpl w:val="7FB0E446"/>
    <w:lvl w:ilvl="0" w:tplc="DD964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EE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4F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67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85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B00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C4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6C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A5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2040D"/>
    <w:multiLevelType w:val="hybridMultilevel"/>
    <w:tmpl w:val="0BB8F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060952">
    <w:abstractNumId w:val="1"/>
  </w:num>
  <w:num w:numId="2" w16cid:durableId="406461688">
    <w:abstractNumId w:val="5"/>
  </w:num>
  <w:num w:numId="3" w16cid:durableId="525217335">
    <w:abstractNumId w:val="15"/>
  </w:num>
  <w:num w:numId="4" w16cid:durableId="2007707244">
    <w:abstractNumId w:val="18"/>
  </w:num>
  <w:num w:numId="5" w16cid:durableId="1656757962">
    <w:abstractNumId w:val="2"/>
  </w:num>
  <w:num w:numId="6" w16cid:durableId="1171144374">
    <w:abstractNumId w:val="8"/>
  </w:num>
  <w:num w:numId="7" w16cid:durableId="1426805703">
    <w:abstractNumId w:val="10"/>
  </w:num>
  <w:num w:numId="8" w16cid:durableId="59254097">
    <w:abstractNumId w:val="3"/>
  </w:num>
  <w:num w:numId="9" w16cid:durableId="1441729030">
    <w:abstractNumId w:val="19"/>
  </w:num>
  <w:num w:numId="10" w16cid:durableId="5177819">
    <w:abstractNumId w:val="4"/>
  </w:num>
  <w:num w:numId="11" w16cid:durableId="450174864">
    <w:abstractNumId w:val="12"/>
  </w:num>
  <w:num w:numId="12" w16cid:durableId="1973561893">
    <w:abstractNumId w:val="13"/>
  </w:num>
  <w:num w:numId="13" w16cid:durableId="1587567856">
    <w:abstractNumId w:val="11"/>
  </w:num>
  <w:num w:numId="14" w16cid:durableId="1868595034">
    <w:abstractNumId w:val="17"/>
  </w:num>
  <w:num w:numId="15" w16cid:durableId="1854569592">
    <w:abstractNumId w:val="16"/>
  </w:num>
  <w:num w:numId="16" w16cid:durableId="585264062">
    <w:abstractNumId w:val="0"/>
  </w:num>
  <w:num w:numId="17" w16cid:durableId="1168250095">
    <w:abstractNumId w:val="14"/>
  </w:num>
  <w:num w:numId="18" w16cid:durableId="521404635">
    <w:abstractNumId w:val="9"/>
  </w:num>
  <w:num w:numId="19" w16cid:durableId="1731613462">
    <w:abstractNumId w:val="7"/>
  </w:num>
  <w:num w:numId="20" w16cid:durableId="1486125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28"/>
    <w:rsid w:val="00013645"/>
    <w:rsid w:val="000230E8"/>
    <w:rsid w:val="00036320"/>
    <w:rsid w:val="00041E14"/>
    <w:rsid w:val="000533B3"/>
    <w:rsid w:val="00087193"/>
    <w:rsid w:val="000A1391"/>
    <w:rsid w:val="000A33E1"/>
    <w:rsid w:val="000B1D28"/>
    <w:rsid w:val="000C2A3A"/>
    <w:rsid w:val="000C2C68"/>
    <w:rsid w:val="000D2167"/>
    <w:rsid w:val="000F41C5"/>
    <w:rsid w:val="00107484"/>
    <w:rsid w:val="00122E92"/>
    <w:rsid w:val="00133092"/>
    <w:rsid w:val="00136BA7"/>
    <w:rsid w:val="001507EC"/>
    <w:rsid w:val="0016572E"/>
    <w:rsid w:val="001718F7"/>
    <w:rsid w:val="00193F86"/>
    <w:rsid w:val="0019543F"/>
    <w:rsid w:val="001A3927"/>
    <w:rsid w:val="001A63C9"/>
    <w:rsid w:val="001B734D"/>
    <w:rsid w:val="001C0434"/>
    <w:rsid w:val="001D23FD"/>
    <w:rsid w:val="001D29F1"/>
    <w:rsid w:val="001E1F37"/>
    <w:rsid w:val="001E4943"/>
    <w:rsid w:val="00213391"/>
    <w:rsid w:val="00252A79"/>
    <w:rsid w:val="00255576"/>
    <w:rsid w:val="002620B5"/>
    <w:rsid w:val="00267961"/>
    <w:rsid w:val="002A407C"/>
    <w:rsid w:val="002A485E"/>
    <w:rsid w:val="002A624A"/>
    <w:rsid w:val="002B0D02"/>
    <w:rsid w:val="002C0869"/>
    <w:rsid w:val="002C6042"/>
    <w:rsid w:val="002E0071"/>
    <w:rsid w:val="003578C5"/>
    <w:rsid w:val="00362696"/>
    <w:rsid w:val="00371DAA"/>
    <w:rsid w:val="00373682"/>
    <w:rsid w:val="00376117"/>
    <w:rsid w:val="0039004F"/>
    <w:rsid w:val="003B0C58"/>
    <w:rsid w:val="003B154D"/>
    <w:rsid w:val="003B3DF5"/>
    <w:rsid w:val="003B57A0"/>
    <w:rsid w:val="003B652B"/>
    <w:rsid w:val="003C0749"/>
    <w:rsid w:val="003E3C38"/>
    <w:rsid w:val="003F2334"/>
    <w:rsid w:val="0041076C"/>
    <w:rsid w:val="00412627"/>
    <w:rsid w:val="00422A0D"/>
    <w:rsid w:val="004600A7"/>
    <w:rsid w:val="00480DBA"/>
    <w:rsid w:val="00496A4F"/>
    <w:rsid w:val="004A0B5F"/>
    <w:rsid w:val="004A5569"/>
    <w:rsid w:val="004B588A"/>
    <w:rsid w:val="004D53A5"/>
    <w:rsid w:val="005174CE"/>
    <w:rsid w:val="005244AE"/>
    <w:rsid w:val="005255B7"/>
    <w:rsid w:val="00534749"/>
    <w:rsid w:val="00547874"/>
    <w:rsid w:val="00562E74"/>
    <w:rsid w:val="005845DA"/>
    <w:rsid w:val="00586EE7"/>
    <w:rsid w:val="00587C7D"/>
    <w:rsid w:val="005C2088"/>
    <w:rsid w:val="005E095C"/>
    <w:rsid w:val="00612023"/>
    <w:rsid w:val="00617B71"/>
    <w:rsid w:val="00626DE9"/>
    <w:rsid w:val="00634AEC"/>
    <w:rsid w:val="0065604C"/>
    <w:rsid w:val="00670B18"/>
    <w:rsid w:val="006B5018"/>
    <w:rsid w:val="006D416F"/>
    <w:rsid w:val="006E413E"/>
    <w:rsid w:val="00700885"/>
    <w:rsid w:val="007247B9"/>
    <w:rsid w:val="00760684"/>
    <w:rsid w:val="00771A3C"/>
    <w:rsid w:val="00775532"/>
    <w:rsid w:val="007800D4"/>
    <w:rsid w:val="00795598"/>
    <w:rsid w:val="007A5D60"/>
    <w:rsid w:val="007B4A88"/>
    <w:rsid w:val="007B5994"/>
    <w:rsid w:val="007C55AE"/>
    <w:rsid w:val="007F7C96"/>
    <w:rsid w:val="00832EF2"/>
    <w:rsid w:val="008443CB"/>
    <w:rsid w:val="00851ABD"/>
    <w:rsid w:val="008807C7"/>
    <w:rsid w:val="008C3BEF"/>
    <w:rsid w:val="008E27E2"/>
    <w:rsid w:val="008E541D"/>
    <w:rsid w:val="00902171"/>
    <w:rsid w:val="009140EA"/>
    <w:rsid w:val="00921D00"/>
    <w:rsid w:val="009514A6"/>
    <w:rsid w:val="00953608"/>
    <w:rsid w:val="00967093"/>
    <w:rsid w:val="00980ACE"/>
    <w:rsid w:val="0098203B"/>
    <w:rsid w:val="009923BC"/>
    <w:rsid w:val="009A1612"/>
    <w:rsid w:val="009B6EE7"/>
    <w:rsid w:val="009C25EE"/>
    <w:rsid w:val="009F43CD"/>
    <w:rsid w:val="00A12510"/>
    <w:rsid w:val="00A15F64"/>
    <w:rsid w:val="00A2709C"/>
    <w:rsid w:val="00A272AB"/>
    <w:rsid w:val="00A378EA"/>
    <w:rsid w:val="00A56F67"/>
    <w:rsid w:val="00A571FD"/>
    <w:rsid w:val="00A67D69"/>
    <w:rsid w:val="00A76CE2"/>
    <w:rsid w:val="00A77DD5"/>
    <w:rsid w:val="00AA4290"/>
    <w:rsid w:val="00AA7CBB"/>
    <w:rsid w:val="00AF09E4"/>
    <w:rsid w:val="00B00392"/>
    <w:rsid w:val="00B7383C"/>
    <w:rsid w:val="00B819EB"/>
    <w:rsid w:val="00B850AC"/>
    <w:rsid w:val="00B9746B"/>
    <w:rsid w:val="00BB1014"/>
    <w:rsid w:val="00BD0182"/>
    <w:rsid w:val="00BF7175"/>
    <w:rsid w:val="00C23CCD"/>
    <w:rsid w:val="00C3131E"/>
    <w:rsid w:val="00C40003"/>
    <w:rsid w:val="00C473F0"/>
    <w:rsid w:val="00C5373A"/>
    <w:rsid w:val="00C92B04"/>
    <w:rsid w:val="00CD1230"/>
    <w:rsid w:val="00CD4578"/>
    <w:rsid w:val="00D0678F"/>
    <w:rsid w:val="00D11BCC"/>
    <w:rsid w:val="00D2076D"/>
    <w:rsid w:val="00D230E4"/>
    <w:rsid w:val="00D26396"/>
    <w:rsid w:val="00D44635"/>
    <w:rsid w:val="00D451C5"/>
    <w:rsid w:val="00D452A4"/>
    <w:rsid w:val="00D6214D"/>
    <w:rsid w:val="00D932A0"/>
    <w:rsid w:val="00DC5D37"/>
    <w:rsid w:val="00DE0F54"/>
    <w:rsid w:val="00E01BE4"/>
    <w:rsid w:val="00E0554B"/>
    <w:rsid w:val="00E13065"/>
    <w:rsid w:val="00E20BE4"/>
    <w:rsid w:val="00E21360"/>
    <w:rsid w:val="00E40BCA"/>
    <w:rsid w:val="00E47BC9"/>
    <w:rsid w:val="00E53192"/>
    <w:rsid w:val="00E5783A"/>
    <w:rsid w:val="00E65567"/>
    <w:rsid w:val="00E70E28"/>
    <w:rsid w:val="00E74B15"/>
    <w:rsid w:val="00E9298B"/>
    <w:rsid w:val="00E9352A"/>
    <w:rsid w:val="00EA7AD5"/>
    <w:rsid w:val="00EB17E7"/>
    <w:rsid w:val="00EC6AD9"/>
    <w:rsid w:val="00EC7407"/>
    <w:rsid w:val="00EE2B63"/>
    <w:rsid w:val="00EF265E"/>
    <w:rsid w:val="00EF2AA3"/>
    <w:rsid w:val="00EF44E1"/>
    <w:rsid w:val="00F03220"/>
    <w:rsid w:val="00F228DC"/>
    <w:rsid w:val="00F617B4"/>
    <w:rsid w:val="00F90077"/>
    <w:rsid w:val="00F90886"/>
    <w:rsid w:val="00FA1FCA"/>
    <w:rsid w:val="00FB1A25"/>
    <w:rsid w:val="00FC1B9F"/>
    <w:rsid w:val="00FE0126"/>
    <w:rsid w:val="02928A34"/>
    <w:rsid w:val="02BF7A24"/>
    <w:rsid w:val="04204907"/>
    <w:rsid w:val="070FA104"/>
    <w:rsid w:val="07950437"/>
    <w:rsid w:val="08150FB8"/>
    <w:rsid w:val="0BED68D5"/>
    <w:rsid w:val="0D5A1F5D"/>
    <w:rsid w:val="12468D3F"/>
    <w:rsid w:val="130630B9"/>
    <w:rsid w:val="1336203A"/>
    <w:rsid w:val="137D0EA4"/>
    <w:rsid w:val="1548B0C7"/>
    <w:rsid w:val="1552F88D"/>
    <w:rsid w:val="1590BFC2"/>
    <w:rsid w:val="1614F1E4"/>
    <w:rsid w:val="16152C36"/>
    <w:rsid w:val="177E7F3D"/>
    <w:rsid w:val="17D5C7A3"/>
    <w:rsid w:val="184B60CB"/>
    <w:rsid w:val="18E7A186"/>
    <w:rsid w:val="19F28A18"/>
    <w:rsid w:val="1AD9B0AF"/>
    <w:rsid w:val="1B5271AB"/>
    <w:rsid w:val="1CCD9654"/>
    <w:rsid w:val="1D28BBEA"/>
    <w:rsid w:val="1D3FE16A"/>
    <w:rsid w:val="1ECC7D34"/>
    <w:rsid w:val="1EF84BC6"/>
    <w:rsid w:val="2386C5FA"/>
    <w:rsid w:val="244FE94B"/>
    <w:rsid w:val="251398E7"/>
    <w:rsid w:val="255870BD"/>
    <w:rsid w:val="2628FFB2"/>
    <w:rsid w:val="267ADC82"/>
    <w:rsid w:val="29CE15CD"/>
    <w:rsid w:val="29DA147F"/>
    <w:rsid w:val="29F8EBF0"/>
    <w:rsid w:val="2A1117B6"/>
    <w:rsid w:val="2AD16965"/>
    <w:rsid w:val="2B629E38"/>
    <w:rsid w:val="2D7A8CB5"/>
    <w:rsid w:val="2E5214DD"/>
    <w:rsid w:val="2EA0B007"/>
    <w:rsid w:val="30AC6835"/>
    <w:rsid w:val="30B22D77"/>
    <w:rsid w:val="34349A8C"/>
    <w:rsid w:val="355A50A0"/>
    <w:rsid w:val="359B0488"/>
    <w:rsid w:val="35F8F106"/>
    <w:rsid w:val="36478D50"/>
    <w:rsid w:val="36E1EBFA"/>
    <w:rsid w:val="36F62101"/>
    <w:rsid w:val="370D21B6"/>
    <w:rsid w:val="378AFC20"/>
    <w:rsid w:val="381F145E"/>
    <w:rsid w:val="3A05AB61"/>
    <w:rsid w:val="3B1DF8C8"/>
    <w:rsid w:val="3B1E709F"/>
    <w:rsid w:val="3B39AFF9"/>
    <w:rsid w:val="3BCAF967"/>
    <w:rsid w:val="3BD59E7B"/>
    <w:rsid w:val="3C254DD5"/>
    <w:rsid w:val="3EFEE661"/>
    <w:rsid w:val="3F2CBA9F"/>
    <w:rsid w:val="432FCCBF"/>
    <w:rsid w:val="44DA8C99"/>
    <w:rsid w:val="4661EAD8"/>
    <w:rsid w:val="4707D24E"/>
    <w:rsid w:val="485F6906"/>
    <w:rsid w:val="4B49CE1D"/>
    <w:rsid w:val="4C4D2331"/>
    <w:rsid w:val="4D228A21"/>
    <w:rsid w:val="4E7C6717"/>
    <w:rsid w:val="4FCF2E7C"/>
    <w:rsid w:val="5024FB48"/>
    <w:rsid w:val="514551FD"/>
    <w:rsid w:val="5181EB88"/>
    <w:rsid w:val="523AB646"/>
    <w:rsid w:val="530FE913"/>
    <w:rsid w:val="54ABB974"/>
    <w:rsid w:val="54C315E4"/>
    <w:rsid w:val="55AF52B2"/>
    <w:rsid w:val="55ED78BC"/>
    <w:rsid w:val="577EF775"/>
    <w:rsid w:val="577F7402"/>
    <w:rsid w:val="58FF75F1"/>
    <w:rsid w:val="59AE0C33"/>
    <w:rsid w:val="5A86A232"/>
    <w:rsid w:val="5B4381DF"/>
    <w:rsid w:val="5BE49EE1"/>
    <w:rsid w:val="5F2890A9"/>
    <w:rsid w:val="60252096"/>
    <w:rsid w:val="6027034B"/>
    <w:rsid w:val="625D6D72"/>
    <w:rsid w:val="63DC7E77"/>
    <w:rsid w:val="653F4D11"/>
    <w:rsid w:val="65B1B34C"/>
    <w:rsid w:val="6668A61C"/>
    <w:rsid w:val="667F441A"/>
    <w:rsid w:val="67FEE5C9"/>
    <w:rsid w:val="6818C7F6"/>
    <w:rsid w:val="6915437C"/>
    <w:rsid w:val="6A2BEF22"/>
    <w:rsid w:val="6B328A4F"/>
    <w:rsid w:val="6B52B53D"/>
    <w:rsid w:val="6BE28543"/>
    <w:rsid w:val="6BF11978"/>
    <w:rsid w:val="6CC4E900"/>
    <w:rsid w:val="6D069F88"/>
    <w:rsid w:val="6E6B3955"/>
    <w:rsid w:val="6F5AB68A"/>
    <w:rsid w:val="6FAC144F"/>
    <w:rsid w:val="6FE9CDC1"/>
    <w:rsid w:val="6FF9B7C0"/>
    <w:rsid w:val="7095077C"/>
    <w:rsid w:val="70F35FBD"/>
    <w:rsid w:val="71A2DA17"/>
    <w:rsid w:val="72144426"/>
    <w:rsid w:val="72581A95"/>
    <w:rsid w:val="72AC537B"/>
    <w:rsid w:val="732AF305"/>
    <w:rsid w:val="73449EC5"/>
    <w:rsid w:val="767E9173"/>
    <w:rsid w:val="77662FD0"/>
    <w:rsid w:val="77B5E1FC"/>
    <w:rsid w:val="7862963C"/>
    <w:rsid w:val="7A41FAA9"/>
    <w:rsid w:val="7B8EEB5F"/>
    <w:rsid w:val="7C6A6953"/>
    <w:rsid w:val="7E6342D1"/>
    <w:rsid w:val="7E7F8924"/>
    <w:rsid w:val="7E8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0241B6"/>
  <w15:chartTrackingRefBased/>
  <w15:docId w15:val="{17C57584-8B2E-4E5C-AC53-1D9C2C68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41D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4D53A5"/>
    <w:pPr>
      <w:pBdr>
        <w:bottom w:val="single" w:sz="4" w:space="6" w:color="002060"/>
      </w:pBdr>
      <w:shd w:val="clear" w:color="auto" w:fill="FFFFFF"/>
      <w:spacing w:before="600" w:beforeAutospacing="0" w:after="240" w:afterAutospacing="0" w:line="276" w:lineRule="auto"/>
      <w:ind w:left="-567" w:right="306"/>
      <w:outlineLvl w:val="0"/>
    </w:pPr>
    <w:rPr>
      <w:rFonts w:ascii="Arial Rounded MT Bold" w:hAnsi="Arial Rounded MT Bold" w:cs="Arial"/>
      <w:b/>
      <w:color w:val="002060"/>
      <w:sz w:val="36"/>
      <w:szCs w:val="36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193F86"/>
    <w:pPr>
      <w:shd w:val="clear" w:color="auto" w:fill="FFFFFF"/>
      <w:spacing w:before="360" w:beforeAutospacing="0" w:after="120" w:afterAutospacing="0" w:line="276" w:lineRule="auto"/>
      <w:ind w:right="306"/>
      <w:outlineLvl w:val="1"/>
    </w:pPr>
    <w:rPr>
      <w:rFonts w:ascii="Arial Rounded MT Bold" w:hAnsi="Arial Rounded MT Bold" w:cs="Arial"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E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A66AC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3F86"/>
    <w:rPr>
      <w:rFonts w:ascii="Arial Rounded MT Bold" w:eastAsia="Times New Roman" w:hAnsi="Arial Rounded MT Bold" w:cs="Arial"/>
      <w:color w:val="002060"/>
      <w:sz w:val="32"/>
      <w:szCs w:val="32"/>
      <w:shd w:val="clear" w:color="auto" w:fill="FFFFFF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unhideWhenUsed/>
    <w:rsid w:val="00634AE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4AEC"/>
    <w:rPr>
      <w:rFonts w:ascii="Arial" w:eastAsiaTheme="minorEastAsia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34A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EC"/>
  </w:style>
  <w:style w:type="paragraph" w:styleId="Footer">
    <w:name w:val="footer"/>
    <w:basedOn w:val="Normal"/>
    <w:link w:val="Foot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EC"/>
  </w:style>
  <w:style w:type="character" w:customStyle="1" w:styleId="Heading1Char">
    <w:name w:val="Heading 1 Char"/>
    <w:basedOn w:val="DefaultParagraphFont"/>
    <w:link w:val="Heading1"/>
    <w:uiPriority w:val="9"/>
    <w:rsid w:val="004D53A5"/>
    <w:rPr>
      <w:rFonts w:ascii="Arial Rounded MT Bold" w:eastAsia="Times New Roman" w:hAnsi="Arial Rounded MT Bold" w:cs="Arial"/>
      <w:b/>
      <w:color w:val="002060"/>
      <w:sz w:val="36"/>
      <w:szCs w:val="36"/>
      <w:shd w:val="clear" w:color="auto" w:fill="FFFFFF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832EF2"/>
    <w:rPr>
      <w:rFonts w:ascii="Arial" w:eastAsiaTheme="majorEastAsia" w:hAnsi="Arial" w:cstheme="majorBidi"/>
      <w:b/>
      <w:bCs/>
      <w:color w:val="4A66AC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3DF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B3DF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DF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F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F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F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DF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DF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B3DF5"/>
    <w:rPr>
      <w:b/>
      <w:bCs/>
    </w:rPr>
  </w:style>
  <w:style w:type="character" w:styleId="Emphasis">
    <w:name w:val="Emphasis"/>
    <w:uiPriority w:val="20"/>
    <w:qFormat/>
    <w:rsid w:val="008E541D"/>
    <w:rPr>
      <w:rFonts w:ascii="Arial" w:hAnsi="Arial" w:cs="Arial"/>
      <w:color w:val="002060"/>
    </w:rPr>
  </w:style>
  <w:style w:type="paragraph" w:styleId="NoSpacing">
    <w:name w:val="No Spacing"/>
    <w:uiPriority w:val="1"/>
    <w:qFormat/>
    <w:rsid w:val="003B3D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3F86"/>
    <w:pPr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93F86"/>
    <w:rPr>
      <w:rFonts w:ascii="Arial" w:hAnsi="Arial"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F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F5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3B3D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3DF5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3B3DF5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B3DF5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3DF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DF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33B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3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CC"/>
    <w:pPr>
      <w:spacing w:after="120" w:line="240" w:lineRule="auto"/>
    </w:pPr>
    <w:rPr>
      <w:rFonts w:eastAsia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CC"/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2AB"/>
    <w:pPr>
      <w:spacing w:before="240" w:after="120" w:line="260" w:lineRule="exact"/>
      <w:jc w:val="both"/>
    </w:pPr>
    <w:rPr>
      <w:rFonts w:ascii="Georgia" w:eastAsiaTheme="minorHAnsi" w:hAnsi="Georgia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2AB"/>
    <w:rPr>
      <w:rFonts w:ascii="Georgia" w:eastAsiaTheme="minorHAnsi" w:hAnsi="Georgia" w:cs="Calibri"/>
      <w:sz w:val="20"/>
      <w:szCs w:val="20"/>
    </w:rPr>
  </w:style>
  <w:style w:type="character" w:customStyle="1" w:styleId="BodyBulletsChar">
    <w:name w:val="Body Bullets Char"/>
    <w:basedOn w:val="DefaultParagraphFont"/>
    <w:link w:val="BodyBullets"/>
    <w:locked/>
    <w:rsid w:val="00A272AB"/>
    <w:rPr>
      <w:rFonts w:ascii="Georgia" w:hAnsi="Georgia"/>
    </w:rPr>
  </w:style>
  <w:style w:type="paragraph" w:customStyle="1" w:styleId="BodyBullets">
    <w:name w:val="Body Bullets"/>
    <w:basedOn w:val="Normal"/>
    <w:link w:val="BodyBulletsChar"/>
    <w:rsid w:val="00A272AB"/>
    <w:pPr>
      <w:numPr>
        <w:numId w:val="18"/>
      </w:numPr>
      <w:spacing w:after="120" w:line="260" w:lineRule="exact"/>
      <w:jc w:val="both"/>
    </w:pPr>
    <w:rPr>
      <w:rFonts w:ascii="Georgia" w:hAnsi="Georgia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F0"/>
    <w:pPr>
      <w:spacing w:after="200"/>
    </w:pPr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F0"/>
    <w:rPr>
      <w:rFonts w:ascii="Arial" w:eastAsia="Calibri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EF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normaltextrun">
    <w:name w:val="normaltextrun"/>
    <w:basedOn w:val="DefaultParagraphFont"/>
    <w:rsid w:val="00EF265E"/>
  </w:style>
  <w:style w:type="character" w:customStyle="1" w:styleId="eop">
    <w:name w:val="eop"/>
    <w:basedOn w:val="DefaultParagraphFont"/>
    <w:rsid w:val="00EF265E"/>
  </w:style>
  <w:style w:type="character" w:customStyle="1" w:styleId="superscript">
    <w:name w:val="superscript"/>
    <w:basedOn w:val="DefaultParagraphFont"/>
    <w:rsid w:val="00EF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di.govt.nz/guidance-and-resources/guidance-for-policy-makes/" TargetMode="External"/><Relationship Id="rId18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archives.govt.nz/discover-our-stories/the-treaty-of-waitangi" TargetMode="External"/><Relationship Id="rId17" Type="http://schemas.openxmlformats.org/officeDocument/2006/relationships/hyperlink" Target="https://www.health.govt.nz/publication/whaia-te-ao-marama-2018-2022-maori-disability-action-pla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ablinggoodlives.co.nz/about-egl/egl-approach/principle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.ford@dpa.org.nz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odi.govt.nz/nz-disability-strategy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.org/development/desa/disabilities/convention-on-the-rights-of-persons-with-disabilities.html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5" ma:contentTypeDescription="Create a new document." ma:contentTypeScope="" ma:versionID="4e4702ac53c3337637d4e846f94d161f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ebbc3bce08bc7bc91bc95ace3c16ba31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Props1.xml><?xml version="1.0" encoding="utf-8"?>
<ds:datastoreItem xmlns:ds="http://schemas.openxmlformats.org/officeDocument/2006/customXml" ds:itemID="{947590BE-2F54-4128-83F6-A49097478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E0D3B-161A-4D78-AB1B-85D0C95DBD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460F7B-B657-45A8-8842-F0A9650199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A29BD-1F75-4B3D-BB9B-5A95C64B2235}">
  <ds:schemaRefs>
    <ds:schemaRef ds:uri="http://schemas.microsoft.com/office/2006/metadata/properties"/>
    <ds:schemaRef ds:uri="http://schemas.microsoft.com/office/infopath/2007/PartnerControls"/>
    <ds:schemaRef ds:uri="c67b1871-600f-4b9e-a4b1-ab314be2ee20"/>
    <ds:schemaRef ds:uri="d2301f34-5cde-48a5-92d5-a0089b6a6a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Woodbury</dc:creator>
  <cp:keywords/>
  <dc:description/>
  <cp:lastModifiedBy>Emily Tilley</cp:lastModifiedBy>
  <cp:revision>2</cp:revision>
  <dcterms:created xsi:type="dcterms:W3CDTF">2022-11-06T03:55:00Z</dcterms:created>
  <dcterms:modified xsi:type="dcterms:W3CDTF">2022-11-06T03:55:00Z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