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8861" w14:textId="77777777" w:rsidR="008B03B2" w:rsidRDefault="008B03B2" w:rsidP="00E9298B"/>
    <w:p w14:paraId="477039F4" w14:textId="77777777" w:rsidR="008B03B2" w:rsidRDefault="008B03B2" w:rsidP="00E9298B"/>
    <w:p w14:paraId="41FBC147" w14:textId="77777777" w:rsidR="00BD51F1" w:rsidRDefault="00BD51F1" w:rsidP="00E9298B"/>
    <w:p w14:paraId="1B154282" w14:textId="77777777" w:rsidR="00BD51F1" w:rsidRDefault="00BD51F1" w:rsidP="00E9298B"/>
    <w:p w14:paraId="5D5DC42E" w14:textId="72329F46" w:rsidR="00587C7D" w:rsidRPr="005244AE" w:rsidRDefault="3CCEE09B" w:rsidP="00E9298B">
      <w:r>
        <w:t>March 2024</w:t>
      </w:r>
    </w:p>
    <w:p w14:paraId="713BEF40" w14:textId="77777777" w:rsidR="00587C7D" w:rsidRPr="005244AE" w:rsidRDefault="00587C7D" w:rsidP="00E9298B"/>
    <w:p w14:paraId="199B88D4" w14:textId="7A742E7B" w:rsidR="00587C7D" w:rsidRDefault="5BA91819" w:rsidP="1249B8F7">
      <w:pPr>
        <w:spacing w:after="240"/>
        <w:rPr>
          <w:rFonts w:eastAsia="Arial" w:cs="Arial"/>
          <w:szCs w:val="24"/>
        </w:rPr>
      </w:pPr>
      <w:r w:rsidRPr="1249B8F7">
        <w:rPr>
          <w:rFonts w:eastAsia="Arial" w:cs="Arial"/>
          <w:b/>
          <w:bCs/>
          <w:color w:val="000000" w:themeColor="text1"/>
          <w:szCs w:val="24"/>
        </w:rPr>
        <w:t>To: Electricity Authority – Te Mana Hiko</w:t>
      </w:r>
    </w:p>
    <w:p w14:paraId="56F6172C" w14:textId="1BD88DD8" w:rsidR="00587C7D" w:rsidRDefault="00587C7D" w:rsidP="1249B8F7">
      <w:r>
        <w:t>Please find attached</w:t>
      </w:r>
      <w:r w:rsidR="000A33E1">
        <w:t xml:space="preserve"> DPA’s</w:t>
      </w:r>
      <w:r>
        <w:t xml:space="preserve"> submission</w:t>
      </w:r>
      <w:r w:rsidR="008443CB">
        <w:t xml:space="preserve"> </w:t>
      </w:r>
      <w:r w:rsidR="008E541D">
        <w:t>on</w:t>
      </w:r>
      <w:r w:rsidR="008B03B2">
        <w:t xml:space="preserve"> </w:t>
      </w:r>
      <w:r w:rsidR="21BCEACB">
        <w:t>Consumer Plan Comparison and Switching Discussion Paper</w:t>
      </w:r>
    </w:p>
    <w:p w14:paraId="39E3DE5B" w14:textId="77777777" w:rsidR="008443CB" w:rsidRDefault="008443CB" w:rsidP="000A33E1">
      <w:pPr>
        <w:rPr>
          <w:rFonts w:cs="Arial"/>
        </w:rPr>
      </w:pPr>
    </w:p>
    <w:p w14:paraId="49651165" w14:textId="25258DBB" w:rsidR="009A0566" w:rsidRDefault="009A0566" w:rsidP="3D4847EA">
      <w:pPr>
        <w:spacing w:after="240"/>
        <w:rPr>
          <w:rStyle w:val="normaltextrun"/>
          <w:rFonts w:eastAsia="Arial" w:cs="Arial"/>
          <w:color w:val="000000" w:themeColor="text1"/>
          <w:szCs w:val="24"/>
          <w:lang w:val="en-US"/>
        </w:rPr>
      </w:pPr>
    </w:p>
    <w:p w14:paraId="5B993D89" w14:textId="77777777" w:rsidR="007A725B" w:rsidRDefault="007A725B" w:rsidP="3D4847EA">
      <w:pPr>
        <w:spacing w:after="240"/>
        <w:rPr>
          <w:rStyle w:val="normaltextrun"/>
          <w:rFonts w:eastAsia="Arial" w:cs="Arial"/>
          <w:color w:val="000000" w:themeColor="text1"/>
          <w:szCs w:val="24"/>
          <w:lang w:val="en-US"/>
        </w:rPr>
      </w:pPr>
    </w:p>
    <w:p w14:paraId="7EAD6A2E" w14:textId="77777777" w:rsidR="007A725B" w:rsidRDefault="007A725B" w:rsidP="3D4847EA">
      <w:pPr>
        <w:spacing w:after="240"/>
        <w:rPr>
          <w:rStyle w:val="normaltextrun"/>
          <w:rFonts w:eastAsia="Arial" w:cs="Arial"/>
          <w:color w:val="000000" w:themeColor="text1"/>
          <w:szCs w:val="24"/>
          <w:lang w:val="en-US"/>
        </w:rPr>
      </w:pPr>
    </w:p>
    <w:p w14:paraId="787DF2D2" w14:textId="77777777" w:rsidR="007A725B" w:rsidRDefault="007A725B" w:rsidP="3D4847EA">
      <w:pPr>
        <w:spacing w:after="240"/>
        <w:rPr>
          <w:rStyle w:val="normaltextrun"/>
          <w:rFonts w:eastAsia="Arial" w:cs="Arial"/>
          <w:color w:val="000000" w:themeColor="text1"/>
          <w:szCs w:val="24"/>
          <w:lang w:val="en-US"/>
        </w:rPr>
      </w:pPr>
    </w:p>
    <w:p w14:paraId="4D18A36E" w14:textId="40BFBF67" w:rsidR="009A0566" w:rsidRDefault="169D9C84" w:rsidP="3D4847EA">
      <w:pPr>
        <w:spacing w:after="240"/>
        <w:rPr>
          <w:rFonts w:eastAsia="Arial" w:cs="Arial"/>
          <w:color w:val="000000" w:themeColor="text1"/>
          <w:szCs w:val="24"/>
        </w:rPr>
      </w:pPr>
      <w:r w:rsidRPr="3D4847EA">
        <w:rPr>
          <w:rStyle w:val="normaltextrun"/>
          <w:rFonts w:eastAsia="Arial" w:cs="Arial"/>
          <w:color w:val="000000" w:themeColor="text1"/>
          <w:szCs w:val="24"/>
          <w:lang w:val="en-US"/>
        </w:rPr>
        <w:t>For any further inquiries, please contact:</w:t>
      </w:r>
    </w:p>
    <w:p w14:paraId="3CDCC16C" w14:textId="2D2AA07D" w:rsidR="009A0566" w:rsidRDefault="169D9C84" w:rsidP="1249B8F7">
      <w:pPr>
        <w:spacing w:after="240"/>
        <w:rPr>
          <w:rFonts w:eastAsia="Arial" w:cs="Arial"/>
          <w:color w:val="000000" w:themeColor="text1"/>
          <w:szCs w:val="24"/>
        </w:rPr>
      </w:pPr>
      <w:r w:rsidRPr="1249B8F7">
        <w:rPr>
          <w:rStyle w:val="eop"/>
          <w:rFonts w:eastAsia="Arial" w:cs="Arial"/>
          <w:color w:val="000000" w:themeColor="text1"/>
          <w:szCs w:val="24"/>
          <w:lang w:val="en-US"/>
        </w:rPr>
        <w:t>Chris Ford</w:t>
      </w:r>
      <w:r w:rsidR="009A0566">
        <w:br/>
      </w:r>
      <w:r w:rsidRPr="1249B8F7">
        <w:rPr>
          <w:rStyle w:val="eop"/>
          <w:rFonts w:eastAsia="Arial" w:cs="Arial"/>
          <w:color w:val="000000" w:themeColor="text1"/>
          <w:szCs w:val="24"/>
          <w:lang w:val="en-US"/>
        </w:rPr>
        <w:t>Policy Advisor (Central and Southern)</w:t>
      </w:r>
      <w:r w:rsidR="009A0566">
        <w:br/>
      </w:r>
      <w:r w:rsidRPr="1249B8F7">
        <w:rPr>
          <w:rStyle w:val="eop"/>
          <w:rFonts w:eastAsia="Arial" w:cs="Arial"/>
          <w:color w:val="000000" w:themeColor="text1"/>
          <w:szCs w:val="24"/>
          <w:lang w:val="en-US"/>
        </w:rPr>
        <w:t>Disabled Persons Assembly New Zealand</w:t>
      </w:r>
      <w:r w:rsidR="009A0566">
        <w:br/>
      </w:r>
      <w:r w:rsidRPr="1249B8F7">
        <w:rPr>
          <w:rStyle w:val="eop"/>
          <w:rFonts w:eastAsia="Arial" w:cs="Arial"/>
          <w:color w:val="000000" w:themeColor="text1"/>
          <w:szCs w:val="24"/>
          <w:lang w:val="en-US"/>
        </w:rPr>
        <w:t xml:space="preserve">Email: </w:t>
      </w:r>
      <w:hyperlink r:id="rId11">
        <w:r w:rsidRPr="1249B8F7">
          <w:rPr>
            <w:rStyle w:val="Hyperlink"/>
            <w:rFonts w:eastAsia="Arial" w:cs="Arial"/>
            <w:szCs w:val="24"/>
            <w:lang w:val="en-US"/>
          </w:rPr>
          <w:t>policy@dpa.org.nz</w:t>
        </w:r>
      </w:hyperlink>
    </w:p>
    <w:p w14:paraId="79EDC7BA" w14:textId="77777777" w:rsidR="007A725B" w:rsidRDefault="007A725B">
      <w:pPr>
        <w:spacing w:line="276" w:lineRule="auto"/>
        <w:rPr>
          <w:rFonts w:eastAsia="Arial" w:cs="Arial"/>
          <w:b/>
          <w:bCs/>
          <w:color w:val="002060"/>
          <w:sz w:val="36"/>
          <w:szCs w:val="36"/>
          <w:lang w:eastAsia="en-NZ"/>
        </w:rPr>
      </w:pPr>
      <w:r>
        <w:rPr>
          <w:rFonts w:eastAsia="Arial"/>
          <w:bCs/>
        </w:rPr>
        <w:br w:type="page"/>
      </w:r>
    </w:p>
    <w:p w14:paraId="3430A340" w14:textId="50737F77" w:rsidR="009A0566" w:rsidRPr="00BD51F1" w:rsidRDefault="169D9C84" w:rsidP="00BD51F1">
      <w:pPr>
        <w:pStyle w:val="Heading1"/>
      </w:pPr>
      <w:r w:rsidRPr="00BD51F1">
        <w:lastRenderedPageBreak/>
        <w:t>Introducing Disabled Persons Assembly</w:t>
      </w:r>
    </w:p>
    <w:p w14:paraId="667259B7" w14:textId="01BF3B1F" w:rsidR="009A0566" w:rsidRDefault="169D9C84" w:rsidP="1249B8F7">
      <w:pPr>
        <w:spacing w:after="240"/>
        <w:rPr>
          <w:rFonts w:eastAsia="Arial" w:cs="Arial"/>
          <w:color w:val="000000" w:themeColor="text1"/>
          <w:szCs w:val="24"/>
        </w:rPr>
      </w:pPr>
      <w:r w:rsidRPr="1249B8F7">
        <w:rPr>
          <w:rFonts w:eastAsia="Arial" w:cs="Arial"/>
          <w:b/>
          <w:bCs/>
          <w:color w:val="000000" w:themeColor="text1"/>
          <w:szCs w:val="24"/>
        </w:rPr>
        <w:t xml:space="preserve">We work on systemic change for the equity of disabled </w:t>
      </w:r>
      <w:proofErr w:type="gramStart"/>
      <w:r w:rsidRPr="1249B8F7">
        <w:rPr>
          <w:rFonts w:eastAsia="Arial" w:cs="Arial"/>
          <w:b/>
          <w:bCs/>
          <w:color w:val="000000" w:themeColor="text1"/>
          <w:szCs w:val="24"/>
        </w:rPr>
        <w:t>people</w:t>
      </w:r>
      <w:proofErr w:type="gramEnd"/>
      <w:r w:rsidRPr="1249B8F7">
        <w:rPr>
          <w:rFonts w:eastAsia="Arial" w:cs="Arial"/>
          <w:b/>
          <w:bCs/>
          <w:color w:val="000000" w:themeColor="text1"/>
          <w:szCs w:val="24"/>
        </w:rPr>
        <w:t xml:space="preserve"> </w:t>
      </w:r>
    </w:p>
    <w:p w14:paraId="4B150E67" w14:textId="30242CB9" w:rsidR="009A0566" w:rsidRDefault="169D9C84" w:rsidP="1249B8F7">
      <w:pPr>
        <w:spacing w:after="240"/>
        <w:rPr>
          <w:rFonts w:eastAsia="Arial" w:cs="Arial"/>
          <w:color w:val="000000" w:themeColor="text1"/>
          <w:szCs w:val="24"/>
        </w:rPr>
      </w:pPr>
      <w:r w:rsidRPr="1249B8F7">
        <w:rPr>
          <w:rFonts w:eastAsia="Arial" w:cs="Arial"/>
          <w:color w:val="000000" w:themeColor="text1"/>
          <w:szCs w:val="24"/>
          <w:lang w:val="en-US"/>
        </w:rPr>
        <w:t xml:space="preserve">Disabled Persons Assembly NZ (DPA) is a not-for-profit pan-impairment Disabled People’s Organisation run by and for disabled people.  </w:t>
      </w:r>
    </w:p>
    <w:p w14:paraId="386A115F" w14:textId="10F4670F" w:rsidR="009A0566" w:rsidRDefault="169D9C84" w:rsidP="1249B8F7">
      <w:pPr>
        <w:spacing w:after="240"/>
        <w:rPr>
          <w:rFonts w:eastAsia="Arial" w:cs="Arial"/>
          <w:color w:val="000000" w:themeColor="text1"/>
          <w:szCs w:val="24"/>
        </w:rPr>
      </w:pPr>
      <w:r w:rsidRPr="1249B8F7">
        <w:rPr>
          <w:rFonts w:eastAsia="Arial" w:cs="Arial"/>
          <w:color w:val="000000" w:themeColor="text1"/>
          <w:szCs w:val="24"/>
          <w:lang w:val="en-US"/>
        </w:rPr>
        <w:t>We recognise:</w:t>
      </w:r>
    </w:p>
    <w:p w14:paraId="2FE4A692" w14:textId="613A8D6E" w:rsidR="009A0566" w:rsidRDefault="169D9C84" w:rsidP="1249B8F7">
      <w:pPr>
        <w:pStyle w:val="ListParagraph"/>
        <w:numPr>
          <w:ilvl w:val="0"/>
          <w:numId w:val="7"/>
        </w:numPr>
        <w:spacing w:after="240"/>
        <w:rPr>
          <w:rFonts w:eastAsia="Arial" w:cs="Arial"/>
          <w:color w:val="000000" w:themeColor="text1"/>
          <w:szCs w:val="24"/>
        </w:rPr>
      </w:pPr>
      <w:r w:rsidRPr="1249B8F7">
        <w:rPr>
          <w:rFonts w:eastAsia="Arial" w:cs="Arial"/>
          <w:color w:val="000000" w:themeColor="text1"/>
          <w:szCs w:val="24"/>
          <w:lang w:val="en-US"/>
        </w:rPr>
        <w:t xml:space="preserve">Māori as Tangata Whenua and </w:t>
      </w:r>
      <w:hyperlink r:id="rId12">
        <w:r w:rsidRPr="1249B8F7">
          <w:rPr>
            <w:rStyle w:val="Hyperlink"/>
            <w:rFonts w:eastAsia="Arial" w:cs="Arial"/>
            <w:szCs w:val="24"/>
            <w:lang w:val="en-US"/>
          </w:rPr>
          <w:t>Te Tiriti o Waitangi</w:t>
        </w:r>
      </w:hyperlink>
      <w:r w:rsidRPr="1249B8F7">
        <w:rPr>
          <w:rFonts w:eastAsia="Arial" w:cs="Arial"/>
          <w:color w:val="000000" w:themeColor="text1"/>
          <w:szCs w:val="24"/>
          <w:lang w:val="en-US"/>
        </w:rPr>
        <w:t xml:space="preserve"> as the founding document of Aotearoa New Zealand;</w:t>
      </w:r>
    </w:p>
    <w:p w14:paraId="37A3DF4F" w14:textId="01661E1B" w:rsidR="009A0566" w:rsidRDefault="169D9C84" w:rsidP="1249B8F7">
      <w:pPr>
        <w:pStyle w:val="ListParagraph"/>
        <w:numPr>
          <w:ilvl w:val="0"/>
          <w:numId w:val="7"/>
        </w:numPr>
        <w:spacing w:after="240"/>
        <w:rPr>
          <w:rFonts w:eastAsia="Arial" w:cs="Arial"/>
          <w:color w:val="000000" w:themeColor="text1"/>
          <w:szCs w:val="24"/>
        </w:rPr>
      </w:pPr>
      <w:r w:rsidRPr="1249B8F7">
        <w:rPr>
          <w:rFonts w:eastAsia="Arial" w:cs="Arial"/>
          <w:color w:val="000000" w:themeColor="text1"/>
          <w:szCs w:val="24"/>
          <w:lang w:val="en-US"/>
        </w:rPr>
        <w:t xml:space="preserve">disabled people as experts on their own </w:t>
      </w:r>
      <w:proofErr w:type="gramStart"/>
      <w:r w:rsidRPr="1249B8F7">
        <w:rPr>
          <w:rFonts w:eastAsia="Arial" w:cs="Arial"/>
          <w:color w:val="000000" w:themeColor="text1"/>
          <w:szCs w:val="24"/>
          <w:lang w:val="en-US"/>
        </w:rPr>
        <w:t>lives;</w:t>
      </w:r>
      <w:proofErr w:type="gramEnd"/>
    </w:p>
    <w:p w14:paraId="27CFE4F7" w14:textId="71CE6CEC" w:rsidR="009A0566" w:rsidRDefault="169D9C84" w:rsidP="1249B8F7">
      <w:pPr>
        <w:pStyle w:val="ListParagraph"/>
        <w:numPr>
          <w:ilvl w:val="0"/>
          <w:numId w:val="7"/>
        </w:numPr>
        <w:spacing w:after="240"/>
        <w:rPr>
          <w:rFonts w:eastAsia="Arial" w:cs="Arial"/>
          <w:color w:val="000000" w:themeColor="text1"/>
          <w:szCs w:val="24"/>
        </w:rPr>
      </w:pPr>
      <w:r w:rsidRPr="1249B8F7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3">
        <w:r w:rsidRPr="1249B8F7">
          <w:rPr>
            <w:rStyle w:val="Hyperlink"/>
            <w:rFonts w:eastAsia="Arial" w:cs="Arial"/>
            <w:szCs w:val="24"/>
            <w:lang w:val="en-US"/>
          </w:rPr>
          <w:t>Social Model of Disability</w:t>
        </w:r>
      </w:hyperlink>
      <w:r w:rsidRPr="1249B8F7">
        <w:rPr>
          <w:rFonts w:eastAsia="Arial" w:cs="Arial"/>
          <w:color w:val="000000" w:themeColor="text1"/>
          <w:szCs w:val="24"/>
          <w:lang w:val="en-US"/>
        </w:rPr>
        <w:t xml:space="preserve"> as the guiding principle for interpreting disability and impairment; </w:t>
      </w:r>
    </w:p>
    <w:p w14:paraId="00164C27" w14:textId="628CA9CD" w:rsidR="009A0566" w:rsidRDefault="169D9C84" w:rsidP="1249B8F7">
      <w:pPr>
        <w:pStyle w:val="ListParagraph"/>
        <w:numPr>
          <w:ilvl w:val="0"/>
          <w:numId w:val="7"/>
        </w:numPr>
        <w:spacing w:after="240"/>
        <w:rPr>
          <w:rFonts w:eastAsia="Arial" w:cs="Arial"/>
          <w:color w:val="000000" w:themeColor="text1"/>
          <w:szCs w:val="24"/>
        </w:rPr>
      </w:pPr>
      <w:r w:rsidRPr="1249B8F7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4">
        <w:r w:rsidRPr="1249B8F7">
          <w:rPr>
            <w:rStyle w:val="Hyperlink"/>
            <w:rFonts w:eastAsia="Arial" w:cs="Arial"/>
            <w:szCs w:val="24"/>
            <w:lang w:val="en-US"/>
          </w:rPr>
          <w:t>United Nations Convention on the Rights of Persons with Disabilities</w:t>
        </w:r>
      </w:hyperlink>
      <w:r w:rsidRPr="1249B8F7">
        <w:rPr>
          <w:rFonts w:eastAsia="Arial" w:cs="Arial"/>
          <w:color w:val="000000" w:themeColor="text1"/>
          <w:szCs w:val="24"/>
          <w:lang w:val="en-US"/>
        </w:rPr>
        <w:t xml:space="preserve"> as the basis for disabled people’s relationship with the State;</w:t>
      </w:r>
    </w:p>
    <w:p w14:paraId="44A483B5" w14:textId="03F6BC05" w:rsidR="009A0566" w:rsidRDefault="169D9C84" w:rsidP="1249B8F7">
      <w:pPr>
        <w:pStyle w:val="ListParagraph"/>
        <w:numPr>
          <w:ilvl w:val="0"/>
          <w:numId w:val="7"/>
        </w:numPr>
        <w:spacing w:after="240"/>
        <w:rPr>
          <w:rFonts w:eastAsia="Arial" w:cs="Arial"/>
          <w:color w:val="000000" w:themeColor="text1"/>
          <w:szCs w:val="24"/>
        </w:rPr>
      </w:pPr>
      <w:r w:rsidRPr="1249B8F7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5">
        <w:r w:rsidRPr="1249B8F7">
          <w:rPr>
            <w:rStyle w:val="Hyperlink"/>
            <w:rFonts w:eastAsia="Arial" w:cs="Arial"/>
            <w:szCs w:val="24"/>
            <w:lang w:val="en-US"/>
          </w:rPr>
          <w:t>New Zealand Disability Strategy</w:t>
        </w:r>
      </w:hyperlink>
      <w:r w:rsidRPr="1249B8F7">
        <w:rPr>
          <w:rFonts w:eastAsia="Arial" w:cs="Arial"/>
          <w:color w:val="000000" w:themeColor="text1"/>
          <w:szCs w:val="24"/>
          <w:lang w:val="en-US"/>
        </w:rPr>
        <w:t xml:space="preserve"> as Government agencies’ guide on disability issues; and </w:t>
      </w:r>
    </w:p>
    <w:p w14:paraId="2870EF4A" w14:textId="2D005A01" w:rsidR="009A0566" w:rsidRDefault="169D9C84" w:rsidP="1249B8F7">
      <w:pPr>
        <w:pStyle w:val="ListParagraph"/>
        <w:numPr>
          <w:ilvl w:val="0"/>
          <w:numId w:val="7"/>
        </w:numPr>
        <w:spacing w:after="240"/>
        <w:rPr>
          <w:rFonts w:eastAsia="Arial" w:cs="Arial"/>
          <w:color w:val="000000" w:themeColor="text1"/>
          <w:szCs w:val="24"/>
        </w:rPr>
      </w:pPr>
      <w:r w:rsidRPr="1249B8F7">
        <w:rPr>
          <w:rFonts w:eastAsia="Arial" w:cs="Arial"/>
          <w:color w:val="000000" w:themeColor="text1"/>
          <w:szCs w:val="24"/>
          <w:lang w:val="en-US"/>
        </w:rPr>
        <w:t xml:space="preserve">the </w:t>
      </w:r>
      <w:hyperlink r:id="rId16">
        <w:r w:rsidRPr="1249B8F7">
          <w:rPr>
            <w:rStyle w:val="Hyperlink"/>
            <w:rFonts w:eastAsia="Arial" w:cs="Arial"/>
            <w:szCs w:val="24"/>
            <w:lang w:val="en-US"/>
          </w:rPr>
          <w:t>Enabling Good Lives Principles</w:t>
        </w:r>
      </w:hyperlink>
      <w:r w:rsidRPr="1249B8F7">
        <w:rPr>
          <w:rFonts w:eastAsia="Arial" w:cs="Arial"/>
          <w:color w:val="000000" w:themeColor="text1"/>
          <w:szCs w:val="24"/>
          <w:lang w:val="en-US"/>
        </w:rPr>
        <w:t xml:space="preserve">, </w:t>
      </w:r>
      <w:hyperlink r:id="rId17">
        <w:r w:rsidRPr="1249B8F7">
          <w:rPr>
            <w:rStyle w:val="Hyperlink"/>
            <w:rFonts w:eastAsia="Arial" w:cs="Arial"/>
            <w:szCs w:val="24"/>
          </w:rPr>
          <w:t>Whāia Te Ao Mārama: Māori Disability Action Plan</w:t>
        </w:r>
      </w:hyperlink>
      <w:r w:rsidRPr="1249B8F7">
        <w:rPr>
          <w:rFonts w:eastAsia="Arial" w:cs="Arial"/>
          <w:color w:val="000000" w:themeColor="text1"/>
          <w:szCs w:val="24"/>
        </w:rPr>
        <w:t xml:space="preserve">, and </w:t>
      </w:r>
      <w:hyperlink r:id="rId18">
        <w:proofErr w:type="spellStart"/>
        <w:r w:rsidRPr="1249B8F7">
          <w:rPr>
            <w:rStyle w:val="Hyperlink"/>
            <w:rFonts w:eastAsia="Arial" w:cs="Arial"/>
            <w:szCs w:val="24"/>
          </w:rPr>
          <w:t>Faiva</w:t>
        </w:r>
        <w:proofErr w:type="spellEnd"/>
        <w:r w:rsidRPr="1249B8F7">
          <w:rPr>
            <w:rStyle w:val="Hyperlink"/>
            <w:rFonts w:eastAsia="Arial" w:cs="Arial"/>
            <w:szCs w:val="24"/>
          </w:rPr>
          <w:t xml:space="preserve"> Ora: National Pasifika Disability </w:t>
        </w:r>
        <w:proofErr w:type="spellStart"/>
        <w:r w:rsidRPr="1249B8F7">
          <w:rPr>
            <w:rStyle w:val="Hyperlink"/>
            <w:rFonts w:eastAsia="Arial" w:cs="Arial"/>
            <w:szCs w:val="24"/>
          </w:rPr>
          <w:t>Disability</w:t>
        </w:r>
        <w:proofErr w:type="spellEnd"/>
        <w:r w:rsidRPr="1249B8F7">
          <w:rPr>
            <w:rStyle w:val="Hyperlink"/>
            <w:rFonts w:eastAsia="Arial" w:cs="Arial"/>
            <w:szCs w:val="24"/>
          </w:rPr>
          <w:t xml:space="preserve"> Plan</w:t>
        </w:r>
      </w:hyperlink>
      <w:r w:rsidRPr="1249B8F7">
        <w:rPr>
          <w:rFonts w:eastAsia="Arial" w:cs="Arial"/>
          <w:color w:val="000000" w:themeColor="text1"/>
          <w:szCs w:val="24"/>
        </w:rPr>
        <w:t xml:space="preserve"> </w:t>
      </w:r>
      <w:r w:rsidRPr="1249B8F7">
        <w:rPr>
          <w:rFonts w:eastAsia="Arial" w:cs="Arial"/>
          <w:color w:val="000000" w:themeColor="text1"/>
          <w:szCs w:val="24"/>
          <w:lang w:val="en-US"/>
        </w:rPr>
        <w:t xml:space="preserve">as avenues to disabled people gaining greater choice and control over their lives and supports. </w:t>
      </w:r>
    </w:p>
    <w:p w14:paraId="7156D0A3" w14:textId="6F6D5CE4" w:rsidR="009A0566" w:rsidRDefault="169D9C84" w:rsidP="1249B8F7">
      <w:pPr>
        <w:spacing w:after="240"/>
        <w:rPr>
          <w:rFonts w:eastAsia="Arial" w:cs="Arial"/>
          <w:color w:val="000000" w:themeColor="text1"/>
          <w:szCs w:val="24"/>
        </w:rPr>
      </w:pPr>
      <w:r w:rsidRPr="1249B8F7">
        <w:rPr>
          <w:rFonts w:eastAsia="Arial" w:cs="Arial"/>
          <w:b/>
          <w:bCs/>
          <w:color w:val="000000" w:themeColor="text1"/>
          <w:szCs w:val="24"/>
          <w:lang w:val="en-US"/>
        </w:rPr>
        <w:t xml:space="preserve">We drive systemic change through: </w:t>
      </w:r>
    </w:p>
    <w:p w14:paraId="2AFA23C1" w14:textId="63C92C8F" w:rsidR="009A0566" w:rsidRDefault="169D9C84" w:rsidP="1249B8F7">
      <w:pPr>
        <w:spacing w:after="240"/>
        <w:rPr>
          <w:rFonts w:eastAsia="Arial" w:cs="Arial"/>
          <w:color w:val="000000" w:themeColor="text1"/>
          <w:szCs w:val="24"/>
        </w:rPr>
      </w:pPr>
      <w:r w:rsidRPr="1249B8F7">
        <w:rPr>
          <w:rFonts w:eastAsia="Arial" w:cs="Arial"/>
          <w:b/>
          <w:bCs/>
          <w:color w:val="000000" w:themeColor="text1"/>
          <w:szCs w:val="24"/>
        </w:rPr>
        <w:t xml:space="preserve">Leadership: </w:t>
      </w:r>
      <w:r w:rsidRPr="1249B8F7">
        <w:rPr>
          <w:rFonts w:eastAsia="Arial" w:cs="Arial"/>
          <w:color w:val="000000" w:themeColor="text1"/>
          <w:szCs w:val="24"/>
        </w:rPr>
        <w:t xml:space="preserve">reflecting the collective voice of disabled people, locally, </w:t>
      </w:r>
      <w:proofErr w:type="gramStart"/>
      <w:r w:rsidRPr="1249B8F7">
        <w:rPr>
          <w:rFonts w:eastAsia="Arial" w:cs="Arial"/>
          <w:color w:val="000000" w:themeColor="text1"/>
          <w:szCs w:val="24"/>
        </w:rPr>
        <w:t>nationally</w:t>
      </w:r>
      <w:proofErr w:type="gramEnd"/>
      <w:r w:rsidRPr="1249B8F7">
        <w:rPr>
          <w:rFonts w:eastAsia="Arial" w:cs="Arial"/>
          <w:color w:val="000000" w:themeColor="text1"/>
          <w:szCs w:val="24"/>
        </w:rPr>
        <w:t xml:space="preserve"> and internationally. </w:t>
      </w:r>
    </w:p>
    <w:p w14:paraId="6E0F27A4" w14:textId="2EB65FEC" w:rsidR="009A0566" w:rsidRDefault="169D9C84" w:rsidP="1249B8F7">
      <w:pPr>
        <w:spacing w:after="240"/>
        <w:rPr>
          <w:rFonts w:eastAsia="Arial" w:cs="Arial"/>
          <w:color w:val="000000" w:themeColor="text1"/>
          <w:szCs w:val="24"/>
        </w:rPr>
      </w:pPr>
      <w:r w:rsidRPr="1249B8F7">
        <w:rPr>
          <w:rFonts w:eastAsia="Arial" w:cs="Arial"/>
          <w:b/>
          <w:bCs/>
          <w:color w:val="000000" w:themeColor="text1"/>
          <w:szCs w:val="24"/>
        </w:rPr>
        <w:t xml:space="preserve">Information and advice: </w:t>
      </w:r>
      <w:r w:rsidRPr="1249B8F7">
        <w:rPr>
          <w:rFonts w:eastAsia="Arial" w:cs="Arial"/>
          <w:color w:val="000000" w:themeColor="text1"/>
          <w:szCs w:val="24"/>
        </w:rPr>
        <w:t>informing and advising on policies impacting on the lives of disabled people.</w:t>
      </w:r>
    </w:p>
    <w:p w14:paraId="7E51A519" w14:textId="5F1CCC0B" w:rsidR="009A0566" w:rsidRDefault="169D9C84" w:rsidP="1249B8F7">
      <w:pPr>
        <w:spacing w:after="240"/>
        <w:rPr>
          <w:rFonts w:eastAsia="Arial" w:cs="Arial"/>
          <w:color w:val="000000" w:themeColor="text1"/>
          <w:szCs w:val="24"/>
        </w:rPr>
      </w:pPr>
      <w:r w:rsidRPr="1249B8F7">
        <w:rPr>
          <w:rFonts w:eastAsia="Arial" w:cs="Arial"/>
          <w:b/>
          <w:bCs/>
          <w:color w:val="000000" w:themeColor="text1"/>
          <w:szCs w:val="24"/>
        </w:rPr>
        <w:t xml:space="preserve">Advocacy: </w:t>
      </w:r>
      <w:r w:rsidRPr="1249B8F7">
        <w:rPr>
          <w:rFonts w:eastAsia="Arial" w:cs="Arial"/>
          <w:color w:val="000000" w:themeColor="text1"/>
          <w:szCs w:val="24"/>
        </w:rPr>
        <w:t>supporting disabled people to have a voice, including a collective voice, in society.</w:t>
      </w:r>
    </w:p>
    <w:p w14:paraId="56A2BB37" w14:textId="678939AB" w:rsidR="009A0566" w:rsidRDefault="169D9C84" w:rsidP="1249B8F7">
      <w:pPr>
        <w:spacing w:after="240"/>
        <w:rPr>
          <w:rFonts w:eastAsia="Arial" w:cs="Arial"/>
          <w:color w:val="000000" w:themeColor="text1"/>
          <w:szCs w:val="24"/>
        </w:rPr>
      </w:pPr>
      <w:r w:rsidRPr="1249B8F7">
        <w:rPr>
          <w:rFonts w:eastAsia="Arial" w:cs="Arial"/>
          <w:b/>
          <w:bCs/>
          <w:color w:val="000000" w:themeColor="text1"/>
          <w:szCs w:val="24"/>
        </w:rPr>
        <w:t xml:space="preserve">Monitoring: </w:t>
      </w:r>
      <w:r w:rsidRPr="1249B8F7">
        <w:rPr>
          <w:rFonts w:eastAsia="Arial" w:cs="Arial"/>
          <w:color w:val="000000" w:themeColor="text1"/>
          <w:szCs w:val="24"/>
        </w:rPr>
        <w:t xml:space="preserve">monitoring and giving feedback on existing laws, </w:t>
      </w:r>
      <w:proofErr w:type="gramStart"/>
      <w:r w:rsidRPr="1249B8F7">
        <w:rPr>
          <w:rFonts w:eastAsia="Arial" w:cs="Arial"/>
          <w:color w:val="000000" w:themeColor="text1"/>
          <w:szCs w:val="24"/>
        </w:rPr>
        <w:t>policies</w:t>
      </w:r>
      <w:proofErr w:type="gramEnd"/>
      <w:r w:rsidRPr="1249B8F7">
        <w:rPr>
          <w:rFonts w:eastAsia="Arial" w:cs="Arial"/>
          <w:color w:val="000000" w:themeColor="text1"/>
          <w:szCs w:val="24"/>
        </w:rPr>
        <w:t xml:space="preserve"> and practices about and relevant to disabled people.</w:t>
      </w:r>
    </w:p>
    <w:p w14:paraId="4BFD2ACF" w14:textId="117CC125" w:rsidR="009A0566" w:rsidRDefault="169D9C84" w:rsidP="00BD51F1">
      <w:pPr>
        <w:pStyle w:val="Heading1"/>
      </w:pPr>
      <w:r w:rsidRPr="2D2D2D71">
        <w:lastRenderedPageBreak/>
        <w:t>The submission</w:t>
      </w:r>
    </w:p>
    <w:p w14:paraId="6E4E2AF2" w14:textId="0944916A" w:rsidR="009A0566" w:rsidRDefault="49884507" w:rsidP="2D2D2D71">
      <w:pPr>
        <w:spacing w:after="240"/>
        <w:rPr>
          <w:rStyle w:val="normaltextrun"/>
          <w:rFonts w:eastAsia="Arial" w:cs="Arial"/>
          <w:color w:val="000000" w:themeColor="text1"/>
          <w:szCs w:val="24"/>
          <w:lang w:val="en-US"/>
        </w:rPr>
      </w:pPr>
      <w:r w:rsidRPr="2D2D2D71">
        <w:rPr>
          <w:rStyle w:val="normaltextrun"/>
          <w:rFonts w:eastAsia="Arial" w:cs="Arial"/>
          <w:color w:val="000000" w:themeColor="text1"/>
          <w:szCs w:val="24"/>
          <w:lang w:val="en-US"/>
        </w:rPr>
        <w:t xml:space="preserve">DPA welcomes this opportunity to give feedback on the Electricity Authority’s (EA’s) </w:t>
      </w:r>
      <w:r w:rsidR="7D07BB00" w:rsidRPr="2D2D2D71">
        <w:rPr>
          <w:rStyle w:val="normaltextrun"/>
          <w:rFonts w:eastAsia="Arial" w:cs="Arial"/>
          <w:color w:val="000000" w:themeColor="text1"/>
          <w:szCs w:val="24"/>
          <w:lang w:val="en-US"/>
        </w:rPr>
        <w:t>consumer plan comparison and swapping proposals.</w:t>
      </w:r>
    </w:p>
    <w:p w14:paraId="5C960CC5" w14:textId="633468E9" w:rsidR="7D07BB00" w:rsidRDefault="7D07BB00" w:rsidP="61FBD07C">
      <w:pPr>
        <w:spacing w:after="240"/>
        <w:rPr>
          <w:rStyle w:val="normaltextrun"/>
          <w:rFonts w:eastAsia="Arial" w:cs="Arial"/>
          <w:color w:val="000000" w:themeColor="text1"/>
          <w:lang w:val="en-US"/>
        </w:rPr>
      </w:pPr>
      <w:r w:rsidRPr="61FBD07C">
        <w:rPr>
          <w:rStyle w:val="normaltextrun"/>
          <w:rFonts w:eastAsia="Arial" w:cs="Arial"/>
          <w:color w:val="000000" w:themeColor="text1"/>
          <w:lang w:val="en-US"/>
        </w:rPr>
        <w:t xml:space="preserve">DPA have outlined in previous submissions the various issues around energy poverty and </w:t>
      </w:r>
      <w:r w:rsidR="7A239C88" w:rsidRPr="61FBD07C">
        <w:rPr>
          <w:rStyle w:val="normaltextrun"/>
          <w:rFonts w:eastAsia="Arial" w:cs="Arial"/>
          <w:color w:val="000000" w:themeColor="text1"/>
          <w:lang w:val="en-US"/>
        </w:rPr>
        <w:t xml:space="preserve">affordability </w:t>
      </w:r>
      <w:r w:rsidR="00BD51F1" w:rsidRPr="61FBD07C">
        <w:rPr>
          <w:rStyle w:val="normaltextrun"/>
          <w:rFonts w:eastAsia="Arial" w:cs="Arial"/>
          <w:color w:val="000000" w:themeColor="text1"/>
          <w:lang w:val="en-US"/>
        </w:rPr>
        <w:t>that</w:t>
      </w:r>
      <w:r w:rsidRPr="61FBD07C">
        <w:rPr>
          <w:rStyle w:val="normaltextrun"/>
          <w:rFonts w:eastAsia="Arial" w:cs="Arial"/>
          <w:color w:val="000000" w:themeColor="text1"/>
          <w:lang w:val="en-US"/>
        </w:rPr>
        <w:t xml:space="preserve"> impact upon disabled people.</w:t>
      </w:r>
    </w:p>
    <w:p w14:paraId="33FBBA6A" w14:textId="703664B2" w:rsidR="297FDBC6" w:rsidRDefault="297FDBC6" w:rsidP="61FBD07C">
      <w:pPr>
        <w:spacing w:after="240"/>
        <w:rPr>
          <w:rFonts w:eastAsia="Arial" w:cs="Arial"/>
          <w:color w:val="000000" w:themeColor="text1"/>
          <w:vertAlign w:val="superscript"/>
          <w:lang w:val="en-US"/>
        </w:rPr>
      </w:pPr>
      <w:r w:rsidRPr="61FBD07C">
        <w:rPr>
          <w:rStyle w:val="normaltextrun"/>
          <w:rFonts w:eastAsia="Arial" w:cs="Arial"/>
          <w:color w:val="000000" w:themeColor="text1"/>
          <w:lang w:val="en-US"/>
        </w:rPr>
        <w:t>According to research from the UK</w:t>
      </w:r>
      <w:r w:rsidRPr="61FBD07C">
        <w:rPr>
          <w:rStyle w:val="FootnoteReference"/>
          <w:rFonts w:eastAsia="Arial" w:cs="Arial"/>
          <w:color w:val="000000" w:themeColor="text1"/>
          <w:lang w:val="en-US"/>
        </w:rPr>
        <w:footnoteReference w:id="2"/>
      </w:r>
      <w:r w:rsidRPr="61FBD07C">
        <w:rPr>
          <w:rStyle w:val="normaltextrun"/>
          <w:rFonts w:eastAsia="Arial" w:cs="Arial"/>
          <w:color w:val="000000" w:themeColor="text1"/>
          <w:lang w:val="en-US"/>
        </w:rPr>
        <w:t xml:space="preserve"> and New </w:t>
      </w:r>
      <w:r w:rsidR="1965DD1B" w:rsidRPr="61FBD07C">
        <w:rPr>
          <w:rStyle w:val="normaltextrun"/>
          <w:rFonts w:eastAsia="Arial" w:cs="Arial"/>
          <w:color w:val="000000" w:themeColor="text1"/>
          <w:lang w:val="en-US"/>
        </w:rPr>
        <w:t>Zealand,</w:t>
      </w:r>
      <w:r w:rsidRPr="61FBD07C">
        <w:rPr>
          <w:rStyle w:val="FootnoteReference"/>
          <w:rFonts w:eastAsia="Arial" w:cs="Arial"/>
          <w:color w:val="000000" w:themeColor="text1"/>
          <w:lang w:val="en-US"/>
        </w:rPr>
        <w:footnoteReference w:id="3"/>
      </w:r>
      <w:r w:rsidRPr="61FBD07C">
        <w:rPr>
          <w:rStyle w:val="normaltextrun"/>
          <w:rFonts w:eastAsia="Arial" w:cs="Arial"/>
          <w:color w:val="000000" w:themeColor="text1"/>
          <w:lang w:val="en-US"/>
        </w:rPr>
        <w:t xml:space="preserve"> these </w:t>
      </w:r>
      <w:r w:rsidR="016D5C45" w:rsidRPr="61FBD07C">
        <w:rPr>
          <w:rStyle w:val="normaltextrun"/>
          <w:rFonts w:eastAsia="Arial" w:cs="Arial"/>
          <w:color w:val="000000" w:themeColor="text1"/>
          <w:lang w:val="en-US"/>
        </w:rPr>
        <w:t>issues</w:t>
      </w:r>
      <w:r w:rsidRPr="61FBD07C">
        <w:rPr>
          <w:rStyle w:val="normaltextrun"/>
          <w:rFonts w:eastAsia="Arial" w:cs="Arial"/>
          <w:color w:val="000000" w:themeColor="text1"/>
          <w:lang w:val="en-US"/>
        </w:rPr>
        <w:t xml:space="preserve"> </w:t>
      </w:r>
      <w:r w:rsidR="2CB6D5B0" w:rsidRPr="61FBD07C">
        <w:rPr>
          <w:rStyle w:val="normaltextrun"/>
          <w:rFonts w:eastAsia="Arial" w:cs="Arial"/>
          <w:color w:val="000000" w:themeColor="text1"/>
          <w:lang w:val="en-US"/>
        </w:rPr>
        <w:t>center</w:t>
      </w:r>
      <w:r w:rsidRPr="61FBD07C">
        <w:rPr>
          <w:rStyle w:val="normaltextrun"/>
          <w:rFonts w:eastAsia="Arial" w:cs="Arial"/>
          <w:color w:val="000000" w:themeColor="text1"/>
          <w:lang w:val="en-US"/>
        </w:rPr>
        <w:t xml:space="preserve"> around</w:t>
      </w:r>
      <w:r w:rsidR="2911131C" w:rsidRPr="61FBD07C">
        <w:rPr>
          <w:rStyle w:val="normaltextrun"/>
          <w:rFonts w:eastAsia="Arial" w:cs="Arial"/>
          <w:color w:val="000000" w:themeColor="text1"/>
          <w:lang w:val="en-US"/>
        </w:rPr>
        <w:t xml:space="preserve"> disabled people and people with health conditions need</w:t>
      </w:r>
      <w:r w:rsidR="6824C0F7" w:rsidRPr="61FBD07C">
        <w:rPr>
          <w:rStyle w:val="normaltextrun"/>
          <w:rFonts w:eastAsia="Arial" w:cs="Arial"/>
          <w:color w:val="000000" w:themeColor="text1"/>
          <w:lang w:val="en-US"/>
        </w:rPr>
        <w:t>ing</w:t>
      </w:r>
      <w:r w:rsidR="2911131C" w:rsidRPr="61FBD07C">
        <w:rPr>
          <w:rStyle w:val="normaltextrun"/>
          <w:rFonts w:eastAsia="Arial" w:cs="Arial"/>
          <w:color w:val="000000" w:themeColor="text1"/>
          <w:lang w:val="en-US"/>
        </w:rPr>
        <w:t xml:space="preserve"> to use more electricity to stay warm, cool down and or to power disability-related equipment including power wheelchairs, hoist beds and breathing apparatus.</w:t>
      </w:r>
    </w:p>
    <w:p w14:paraId="6BE72989" w14:textId="0D8FEE0B" w:rsidR="2911131C" w:rsidRDefault="2911131C" w:rsidP="2D2D2D71">
      <w:pPr>
        <w:spacing w:after="240"/>
        <w:rPr>
          <w:rFonts w:eastAsia="Arial" w:cs="Arial"/>
          <w:color w:val="000000" w:themeColor="text1"/>
          <w:szCs w:val="24"/>
          <w:lang w:val="en-US"/>
        </w:rPr>
      </w:pPr>
      <w:r w:rsidRPr="2D2D2D71">
        <w:rPr>
          <w:rStyle w:val="normaltextrun"/>
          <w:rFonts w:eastAsia="Arial" w:cs="Arial"/>
          <w:color w:val="000000" w:themeColor="text1"/>
          <w:szCs w:val="24"/>
          <w:lang w:val="en-US"/>
        </w:rPr>
        <w:t>Energy poverty also adds to the challenge of the many disabled people who live on low incomes while facing higher disability related living costs.</w:t>
      </w:r>
    </w:p>
    <w:p w14:paraId="7F69CAAB" w14:textId="02BC5521" w:rsidR="356430CA" w:rsidRDefault="356430CA" w:rsidP="2D2D2D71">
      <w:pPr>
        <w:spacing w:after="240"/>
        <w:rPr>
          <w:rStyle w:val="normaltextrun"/>
          <w:rFonts w:eastAsia="Arial" w:cs="Arial"/>
          <w:color w:val="000000" w:themeColor="text1"/>
          <w:szCs w:val="24"/>
          <w:lang w:val="en-US"/>
        </w:rPr>
      </w:pPr>
      <w:r w:rsidRPr="2D2D2D71">
        <w:rPr>
          <w:rStyle w:val="normaltextrun"/>
          <w:rFonts w:eastAsia="Arial" w:cs="Arial"/>
          <w:color w:val="000000" w:themeColor="text1"/>
          <w:szCs w:val="24"/>
          <w:lang w:val="en-US"/>
        </w:rPr>
        <w:t>DPA supports the general direction of this paper</w:t>
      </w:r>
      <w:r w:rsidR="00356CA0">
        <w:rPr>
          <w:rStyle w:val="normaltextrun"/>
          <w:rFonts w:eastAsia="Arial" w:cs="Arial"/>
          <w:color w:val="000000" w:themeColor="text1"/>
          <w:szCs w:val="24"/>
          <w:lang w:val="en-US"/>
        </w:rPr>
        <w:t>,</w:t>
      </w:r>
      <w:r w:rsidRPr="2D2D2D71">
        <w:rPr>
          <w:rStyle w:val="normaltextrun"/>
          <w:rFonts w:eastAsia="Arial" w:cs="Arial"/>
          <w:color w:val="000000" w:themeColor="text1"/>
          <w:szCs w:val="24"/>
          <w:lang w:val="en-US"/>
        </w:rPr>
        <w:t xml:space="preserve"> which aims to ensure that consumers have </w:t>
      </w:r>
      <w:r w:rsidR="135BAC8E" w:rsidRPr="2D2D2D71">
        <w:rPr>
          <w:rStyle w:val="normaltextrun"/>
          <w:rFonts w:eastAsia="Arial" w:cs="Arial"/>
          <w:color w:val="000000" w:themeColor="text1"/>
          <w:szCs w:val="24"/>
          <w:lang w:val="en-US"/>
        </w:rPr>
        <w:t>fewer barriers when assessing</w:t>
      </w:r>
      <w:r w:rsidR="7E18DCC8" w:rsidRPr="2D2D2D71">
        <w:rPr>
          <w:rStyle w:val="normaltextrun"/>
          <w:rFonts w:eastAsia="Arial" w:cs="Arial"/>
          <w:color w:val="000000" w:themeColor="text1"/>
          <w:szCs w:val="24"/>
          <w:lang w:val="en-US"/>
        </w:rPr>
        <w:t xml:space="preserve"> </w:t>
      </w:r>
      <w:r w:rsidR="472793A9" w:rsidRPr="2D2D2D71">
        <w:rPr>
          <w:rStyle w:val="normaltextrun"/>
          <w:rFonts w:eastAsia="Arial" w:cs="Arial"/>
          <w:color w:val="000000" w:themeColor="text1"/>
          <w:szCs w:val="24"/>
          <w:lang w:val="en-US"/>
        </w:rPr>
        <w:t>whether to</w:t>
      </w:r>
      <w:r w:rsidRPr="2D2D2D71">
        <w:rPr>
          <w:rStyle w:val="normaltextrun"/>
          <w:rFonts w:eastAsia="Arial" w:cs="Arial"/>
          <w:color w:val="000000" w:themeColor="text1"/>
          <w:szCs w:val="24"/>
          <w:lang w:val="en-US"/>
        </w:rPr>
        <w:t xml:space="preserve"> sw</w:t>
      </w:r>
      <w:r w:rsidR="5028505F" w:rsidRPr="2D2D2D71">
        <w:rPr>
          <w:rStyle w:val="normaltextrun"/>
          <w:rFonts w:eastAsia="Arial" w:cs="Arial"/>
          <w:color w:val="000000" w:themeColor="text1"/>
          <w:szCs w:val="24"/>
          <w:lang w:val="en-US"/>
        </w:rPr>
        <w:t>itch suppliers.</w:t>
      </w:r>
    </w:p>
    <w:p w14:paraId="63497B46" w14:textId="49C300EA" w:rsidR="28564F6B" w:rsidRDefault="28564F6B" w:rsidP="61FBD07C">
      <w:pPr>
        <w:spacing w:after="240"/>
        <w:rPr>
          <w:rStyle w:val="normaltextrun"/>
          <w:rFonts w:eastAsia="Arial" w:cs="Arial"/>
          <w:color w:val="000000" w:themeColor="text1"/>
          <w:lang w:val="en-US"/>
        </w:rPr>
      </w:pPr>
      <w:r w:rsidRPr="61FBD07C">
        <w:rPr>
          <w:rStyle w:val="normaltextrun"/>
          <w:rFonts w:eastAsia="Arial" w:cs="Arial"/>
          <w:color w:val="000000" w:themeColor="text1"/>
          <w:lang w:val="en-US"/>
        </w:rPr>
        <w:t xml:space="preserve">We are concerned </w:t>
      </w:r>
      <w:r w:rsidR="1635E9CF" w:rsidRPr="61FBD07C">
        <w:rPr>
          <w:rStyle w:val="normaltextrun"/>
          <w:rFonts w:eastAsia="Arial" w:cs="Arial"/>
          <w:color w:val="000000" w:themeColor="text1"/>
          <w:lang w:val="en-US"/>
        </w:rPr>
        <w:t xml:space="preserve">by </w:t>
      </w:r>
      <w:r w:rsidR="498893CD" w:rsidRPr="61FBD07C">
        <w:rPr>
          <w:rStyle w:val="normaltextrun"/>
          <w:rFonts w:eastAsia="Arial" w:cs="Arial"/>
          <w:color w:val="000000" w:themeColor="text1"/>
          <w:lang w:val="en-US"/>
        </w:rPr>
        <w:t xml:space="preserve">the low </w:t>
      </w:r>
      <w:r w:rsidRPr="61FBD07C">
        <w:rPr>
          <w:rStyle w:val="normaltextrun"/>
          <w:rFonts w:eastAsia="Arial" w:cs="Arial"/>
          <w:color w:val="000000" w:themeColor="text1"/>
          <w:lang w:val="en-US"/>
        </w:rPr>
        <w:t>residential switching rates within the</w:t>
      </w:r>
      <w:r w:rsidR="725E0204" w:rsidRPr="61FBD07C">
        <w:rPr>
          <w:rStyle w:val="normaltextrun"/>
          <w:rFonts w:eastAsia="Arial" w:cs="Arial"/>
          <w:color w:val="000000" w:themeColor="text1"/>
          <w:lang w:val="en-US"/>
        </w:rPr>
        <w:t xml:space="preserve"> New Zealand</w:t>
      </w:r>
      <w:r w:rsidRPr="61FBD07C">
        <w:rPr>
          <w:rStyle w:val="normaltextrun"/>
          <w:rFonts w:eastAsia="Arial" w:cs="Arial"/>
          <w:color w:val="000000" w:themeColor="text1"/>
          <w:lang w:val="en-US"/>
        </w:rPr>
        <w:t xml:space="preserve"> electricity market </w:t>
      </w:r>
      <w:r w:rsidR="4C3861B3" w:rsidRPr="61FBD07C">
        <w:rPr>
          <w:rStyle w:val="normaltextrun"/>
          <w:rFonts w:eastAsia="Arial" w:cs="Arial"/>
          <w:color w:val="000000" w:themeColor="text1"/>
          <w:lang w:val="en-US"/>
        </w:rPr>
        <w:t xml:space="preserve">and </w:t>
      </w:r>
      <w:r w:rsidRPr="61FBD07C">
        <w:rPr>
          <w:rStyle w:val="normaltextrun"/>
          <w:rFonts w:eastAsia="Arial" w:cs="Arial"/>
          <w:color w:val="000000" w:themeColor="text1"/>
          <w:lang w:val="en-US"/>
        </w:rPr>
        <w:t>th</w:t>
      </w:r>
      <w:r w:rsidR="6ECEAF87" w:rsidRPr="61FBD07C">
        <w:rPr>
          <w:rStyle w:val="normaltextrun"/>
          <w:rFonts w:eastAsia="Arial" w:cs="Arial"/>
          <w:color w:val="000000" w:themeColor="text1"/>
          <w:lang w:val="en-US"/>
        </w:rPr>
        <w:t xml:space="preserve">e consequent </w:t>
      </w:r>
      <w:r w:rsidRPr="61FBD07C">
        <w:rPr>
          <w:rStyle w:val="normaltextrun"/>
          <w:rFonts w:eastAsia="Arial" w:cs="Arial"/>
          <w:color w:val="000000" w:themeColor="text1"/>
          <w:lang w:val="en-US"/>
        </w:rPr>
        <w:t>need to raise the number of active switches.</w:t>
      </w:r>
    </w:p>
    <w:p w14:paraId="38BAACC1" w14:textId="43246D07" w:rsidR="32ADFB2D" w:rsidRDefault="32ADFB2D" w:rsidP="61FBD07C">
      <w:pPr>
        <w:spacing w:after="240"/>
        <w:rPr>
          <w:rStyle w:val="normaltextrun"/>
          <w:rFonts w:eastAsia="Arial" w:cs="Arial"/>
          <w:color w:val="000000" w:themeColor="text1"/>
          <w:lang w:val="en-US"/>
        </w:rPr>
      </w:pPr>
      <w:r w:rsidRPr="61FBD07C">
        <w:rPr>
          <w:rStyle w:val="normaltextrun"/>
          <w:rFonts w:eastAsia="Arial" w:cs="Arial"/>
          <w:color w:val="000000" w:themeColor="text1"/>
          <w:lang w:val="en-US"/>
        </w:rPr>
        <w:t xml:space="preserve">In this brief submission, we </w:t>
      </w:r>
      <w:r w:rsidR="2CB4EF13" w:rsidRPr="61FBD07C">
        <w:rPr>
          <w:rStyle w:val="normaltextrun"/>
          <w:rFonts w:eastAsia="Arial" w:cs="Arial"/>
          <w:color w:val="000000" w:themeColor="text1"/>
          <w:lang w:val="en-US"/>
        </w:rPr>
        <w:t>provide recommendations on</w:t>
      </w:r>
      <w:r w:rsidRPr="61FBD07C">
        <w:rPr>
          <w:rStyle w:val="normaltextrun"/>
          <w:rFonts w:eastAsia="Arial" w:cs="Arial"/>
          <w:color w:val="000000" w:themeColor="text1"/>
          <w:lang w:val="en-US"/>
        </w:rPr>
        <w:t xml:space="preserve"> what needs to be done to </w:t>
      </w:r>
      <w:r w:rsidR="7BEEF2CB" w:rsidRPr="61FBD07C">
        <w:rPr>
          <w:rStyle w:val="normaltextrun"/>
          <w:rFonts w:eastAsia="Arial" w:cs="Arial"/>
          <w:color w:val="000000" w:themeColor="text1"/>
          <w:lang w:val="en-US"/>
        </w:rPr>
        <w:t>improve the process</w:t>
      </w:r>
      <w:r w:rsidRPr="61FBD07C">
        <w:rPr>
          <w:rStyle w:val="normaltextrun"/>
          <w:rFonts w:eastAsia="Arial" w:cs="Arial"/>
          <w:color w:val="000000" w:themeColor="text1"/>
          <w:lang w:val="en-US"/>
        </w:rPr>
        <w:t xml:space="preserve"> in terms of making information and communications a</w:t>
      </w:r>
      <w:r w:rsidR="455D8C37" w:rsidRPr="61FBD07C">
        <w:rPr>
          <w:rStyle w:val="normaltextrun"/>
          <w:rFonts w:eastAsia="Arial" w:cs="Arial"/>
          <w:color w:val="000000" w:themeColor="text1"/>
          <w:lang w:val="en-US"/>
        </w:rPr>
        <w:t>vailable in accessible formats and encouraging retailers to make more direct contact with disabled people as a high priority customer group.</w:t>
      </w:r>
    </w:p>
    <w:p w14:paraId="00368701" w14:textId="15745C1D" w:rsidR="0E0FDD41" w:rsidRDefault="0E0FDD41" w:rsidP="61FBD07C">
      <w:pPr>
        <w:pStyle w:val="Heading1"/>
        <w:spacing w:line="276" w:lineRule="auto"/>
      </w:pPr>
      <w:r>
        <w:t>Our views on the switching proposals</w:t>
      </w:r>
    </w:p>
    <w:p w14:paraId="1A728FB7" w14:textId="7D9B7951" w:rsidR="32328611" w:rsidRDefault="32328611" w:rsidP="00356CA0">
      <w:pPr>
        <w:rPr>
          <w:rFonts w:eastAsia="Arial"/>
          <w:b/>
        </w:rPr>
      </w:pPr>
      <w:r w:rsidRPr="3D4847EA">
        <w:rPr>
          <w:rFonts w:eastAsia="Arial"/>
        </w:rPr>
        <w:t xml:space="preserve">DPA supports the </w:t>
      </w:r>
      <w:r w:rsidR="631475D4" w:rsidRPr="3D4847EA">
        <w:rPr>
          <w:rFonts w:eastAsia="Arial"/>
        </w:rPr>
        <w:t>Authority’s proposed approach from the options assessment</w:t>
      </w:r>
      <w:r w:rsidR="63429457" w:rsidRPr="3D4847EA">
        <w:rPr>
          <w:rFonts w:eastAsia="Arial"/>
        </w:rPr>
        <w:t xml:space="preserve"> </w:t>
      </w:r>
      <w:r w:rsidR="2D8C3101" w:rsidRPr="3D4847EA">
        <w:rPr>
          <w:rFonts w:eastAsia="Arial"/>
        </w:rPr>
        <w:t>that include:</w:t>
      </w:r>
    </w:p>
    <w:p w14:paraId="694A4365" w14:textId="3946DC6C" w:rsidR="50EFF405" w:rsidRDefault="50EFF405" w:rsidP="2D2D2D71">
      <w:pPr>
        <w:pStyle w:val="ListParagraph"/>
        <w:numPr>
          <w:ilvl w:val="0"/>
          <w:numId w:val="1"/>
        </w:numPr>
        <w:rPr>
          <w:szCs w:val="24"/>
        </w:rPr>
      </w:pPr>
      <w:r w:rsidRPr="2D2D2D71">
        <w:rPr>
          <w:szCs w:val="24"/>
        </w:rPr>
        <w:lastRenderedPageBreak/>
        <w:t>Option 4:</w:t>
      </w:r>
      <w:r w:rsidR="4CB3F76F" w:rsidRPr="2D2D2D71">
        <w:rPr>
          <w:szCs w:val="24"/>
        </w:rPr>
        <w:t xml:space="preserve"> </w:t>
      </w:r>
      <w:r w:rsidRPr="2D2D2D71">
        <w:rPr>
          <w:szCs w:val="24"/>
        </w:rPr>
        <w:t xml:space="preserve">Authority funded and supported existing or new (externally run) comparison and switching </w:t>
      </w:r>
      <w:proofErr w:type="gramStart"/>
      <w:r w:rsidRPr="2D2D2D71">
        <w:rPr>
          <w:szCs w:val="24"/>
        </w:rPr>
        <w:t>website</w:t>
      </w:r>
      <w:proofErr w:type="gramEnd"/>
    </w:p>
    <w:p w14:paraId="4652AC1C" w14:textId="5DA3B139" w:rsidR="50EFF405" w:rsidRDefault="50EFF405" w:rsidP="2D2D2D71">
      <w:pPr>
        <w:pStyle w:val="ListParagraph"/>
        <w:numPr>
          <w:ilvl w:val="0"/>
          <w:numId w:val="1"/>
        </w:numPr>
        <w:rPr>
          <w:szCs w:val="24"/>
        </w:rPr>
      </w:pPr>
      <w:r w:rsidRPr="2D2D2D71">
        <w:rPr>
          <w:szCs w:val="24"/>
        </w:rPr>
        <w:t xml:space="preserve">Option A: </w:t>
      </w:r>
      <w:r w:rsidR="221A3CB5" w:rsidRPr="2D2D2D71">
        <w:rPr>
          <w:szCs w:val="24"/>
        </w:rPr>
        <w:t>r</w:t>
      </w:r>
      <w:r w:rsidRPr="2D2D2D71">
        <w:rPr>
          <w:szCs w:val="24"/>
        </w:rPr>
        <w:t>etailers provid</w:t>
      </w:r>
      <w:r w:rsidR="1290531B" w:rsidRPr="2D2D2D71">
        <w:rPr>
          <w:szCs w:val="24"/>
        </w:rPr>
        <w:t>ing</w:t>
      </w:r>
      <w:r w:rsidRPr="2D2D2D71">
        <w:rPr>
          <w:szCs w:val="24"/>
        </w:rPr>
        <w:t xml:space="preserve"> their existing consumers with best plan information.</w:t>
      </w:r>
    </w:p>
    <w:p w14:paraId="3835749C" w14:textId="30864D7B" w:rsidR="50EFF405" w:rsidRDefault="50EFF405" w:rsidP="2D2D2D71">
      <w:pPr>
        <w:pStyle w:val="ListParagraph"/>
        <w:numPr>
          <w:ilvl w:val="0"/>
          <w:numId w:val="1"/>
        </w:numPr>
        <w:rPr>
          <w:szCs w:val="24"/>
        </w:rPr>
      </w:pPr>
      <w:r w:rsidRPr="2D2D2D71">
        <w:rPr>
          <w:szCs w:val="24"/>
        </w:rPr>
        <w:t>Option B: Community advisers to support comparison and switching</w:t>
      </w:r>
      <w:r w:rsidR="2EA69634" w:rsidRPr="2D2D2D71">
        <w:rPr>
          <w:szCs w:val="24"/>
        </w:rPr>
        <w:t xml:space="preserve"> activity</w:t>
      </w:r>
      <w:r w:rsidRPr="2D2D2D71">
        <w:rPr>
          <w:szCs w:val="24"/>
        </w:rPr>
        <w:t>.</w:t>
      </w:r>
    </w:p>
    <w:p w14:paraId="12BE8949" w14:textId="34FDE060" w:rsidR="50EFF405" w:rsidRDefault="50EFF405" w:rsidP="2D2D2D71">
      <w:pPr>
        <w:pStyle w:val="ListParagraph"/>
        <w:numPr>
          <w:ilvl w:val="0"/>
          <w:numId w:val="1"/>
        </w:numPr>
        <w:rPr>
          <w:szCs w:val="24"/>
        </w:rPr>
      </w:pPr>
      <w:r w:rsidRPr="2D2D2D71">
        <w:rPr>
          <w:szCs w:val="24"/>
        </w:rPr>
        <w:t>Option C: Promotional activity and campaigns for comparison and switching services.</w:t>
      </w:r>
    </w:p>
    <w:p w14:paraId="6E356F84" w14:textId="4D27B80A" w:rsidR="108F0461" w:rsidRDefault="4EF86ABE" w:rsidP="61FBD07C">
      <w:r>
        <w:t>All o</w:t>
      </w:r>
      <w:r w:rsidR="550F1D76">
        <w:t>ptions will need to be accessible and inclusive for everyone, including disabled people.</w:t>
      </w:r>
    </w:p>
    <w:p w14:paraId="3EE39777" w14:textId="4ECBE2EF" w:rsidR="550F1D76" w:rsidRDefault="550F1D76" w:rsidP="2D2D2D71">
      <w:r>
        <w:t xml:space="preserve">Accessing information is a </w:t>
      </w:r>
      <w:r w:rsidR="49A5BDDC">
        <w:t xml:space="preserve">significant </w:t>
      </w:r>
      <w:r>
        <w:t xml:space="preserve">barrier for </w:t>
      </w:r>
      <w:r w:rsidR="24F056DC">
        <w:t xml:space="preserve">many </w:t>
      </w:r>
      <w:r>
        <w:t>disabled New Zealanders</w:t>
      </w:r>
      <w:r w:rsidR="1459526C">
        <w:t xml:space="preserve">, including when it comes to </w:t>
      </w:r>
      <w:r w:rsidR="33C4D07F">
        <w:t xml:space="preserve">assessing their </w:t>
      </w:r>
      <w:r w:rsidR="1459526C">
        <w:t>electricity options</w:t>
      </w:r>
      <w:r>
        <w:t xml:space="preserve">. </w:t>
      </w:r>
    </w:p>
    <w:p w14:paraId="7CCBF6D1" w14:textId="6C57960F" w:rsidR="1D0FB584" w:rsidRDefault="1D0FB584" w:rsidP="61FBD07C">
      <w:pPr>
        <w:spacing w:after="240"/>
        <w:rPr>
          <w:rFonts w:eastAsia="Arial" w:cs="Arial"/>
          <w:color w:val="000000" w:themeColor="text1"/>
          <w:szCs w:val="24"/>
        </w:rPr>
      </w:pPr>
      <w:r w:rsidRPr="61FBD07C">
        <w:rPr>
          <w:rFonts w:eastAsia="Arial" w:cs="Arial"/>
          <w:color w:val="000000" w:themeColor="text1"/>
          <w:szCs w:val="24"/>
        </w:rPr>
        <w:t>DPA recommends (as we have in past submissions) that electricity-related information and support to disabled people be provided in accessible formats.</w:t>
      </w:r>
    </w:p>
    <w:p w14:paraId="4151779F" w14:textId="37AE39EA" w:rsidR="1D0FB584" w:rsidRDefault="1D0FB584" w:rsidP="61FBD07C">
      <w:pPr>
        <w:spacing w:after="240"/>
        <w:rPr>
          <w:rFonts w:eastAsia="Arial" w:cs="Arial"/>
          <w:color w:val="000000" w:themeColor="text1"/>
          <w:szCs w:val="24"/>
        </w:rPr>
      </w:pPr>
      <w:r w:rsidRPr="61FBD07C">
        <w:rPr>
          <w:rFonts w:eastAsia="Arial" w:cs="Arial"/>
          <w:color w:val="000000" w:themeColor="text1"/>
          <w:szCs w:val="24"/>
        </w:rPr>
        <w:t xml:space="preserve">This means that information provided by power retailers such as pamphlets, posters, </w:t>
      </w:r>
      <w:proofErr w:type="gramStart"/>
      <w:r w:rsidRPr="61FBD07C">
        <w:rPr>
          <w:rFonts w:eastAsia="Arial" w:cs="Arial"/>
          <w:color w:val="000000" w:themeColor="text1"/>
          <w:szCs w:val="24"/>
        </w:rPr>
        <w:t>letters</w:t>
      </w:r>
      <w:proofErr w:type="gramEnd"/>
      <w:r w:rsidRPr="61FBD07C">
        <w:rPr>
          <w:rFonts w:eastAsia="Arial" w:cs="Arial"/>
          <w:color w:val="000000" w:themeColor="text1"/>
          <w:szCs w:val="24"/>
        </w:rPr>
        <w:t xml:space="preserve"> and online information on websites/apps is available in accessible formats including Braille, Large Print, New Zealand Sign Language (NZSL), Easy Read (for people with learning disabilities and English as a second language), as well as video and audio formats.</w:t>
      </w:r>
    </w:p>
    <w:p w14:paraId="0F509219" w14:textId="4C9F3BCB" w:rsidR="4B5591E5" w:rsidRDefault="4B5591E5" w:rsidP="3D4847EA">
      <w:pPr>
        <w:rPr>
          <w:szCs w:val="24"/>
        </w:rPr>
      </w:pPr>
      <w:r w:rsidRPr="3D4847EA">
        <w:rPr>
          <w:szCs w:val="24"/>
        </w:rPr>
        <w:t>DPA recommends that the EA</w:t>
      </w:r>
      <w:r w:rsidR="000A7D87">
        <w:rPr>
          <w:szCs w:val="24"/>
        </w:rPr>
        <w:t>,</w:t>
      </w:r>
      <w:r w:rsidRPr="3D4847EA">
        <w:rPr>
          <w:szCs w:val="24"/>
        </w:rPr>
        <w:t xml:space="preserve"> when it updates or creates a new power switching website</w:t>
      </w:r>
      <w:r w:rsidR="000A7D87">
        <w:rPr>
          <w:szCs w:val="24"/>
        </w:rPr>
        <w:t>,</w:t>
      </w:r>
      <w:r w:rsidR="51BC2849" w:rsidRPr="3D4847EA">
        <w:rPr>
          <w:szCs w:val="24"/>
        </w:rPr>
        <w:t xml:space="preserve"> build it to the Government’s Web Accessibility Standard.</w:t>
      </w:r>
    </w:p>
    <w:p w14:paraId="7B6CAF4D" w14:textId="1AFCE9CD" w:rsidR="46A703DD" w:rsidRDefault="46A703DD" w:rsidP="3D4847EA">
      <w:r>
        <w:t>Under proposed Option A, e</w:t>
      </w:r>
      <w:r w:rsidR="373B3F1A">
        <w:t>lectricity retailers should also act to</w:t>
      </w:r>
      <w:r w:rsidR="2DD1E9F7">
        <w:t xml:space="preserve"> ensure that</w:t>
      </w:r>
      <w:r w:rsidR="373B3F1A">
        <w:t xml:space="preserve"> their disabled customers </w:t>
      </w:r>
      <w:r w:rsidR="7F1B2170">
        <w:t xml:space="preserve">(including </w:t>
      </w:r>
      <w:r w:rsidR="373B3F1A">
        <w:t>Medically Dependent Consumers</w:t>
      </w:r>
      <w:r w:rsidR="2070E750">
        <w:t xml:space="preserve"> or</w:t>
      </w:r>
      <w:r w:rsidR="115DB33A">
        <w:t xml:space="preserve"> those</w:t>
      </w:r>
      <w:r w:rsidR="2070E750">
        <w:t xml:space="preserve"> self-identifying as disabled people</w:t>
      </w:r>
      <w:r w:rsidR="373B3F1A">
        <w:t xml:space="preserve">) </w:t>
      </w:r>
      <w:r w:rsidR="2E635EAA">
        <w:t>are</w:t>
      </w:r>
      <w:r w:rsidR="373B3F1A">
        <w:t xml:space="preserve"> </w:t>
      </w:r>
      <w:r w:rsidR="38AD0997">
        <w:t>designated high priority</w:t>
      </w:r>
      <w:r w:rsidR="373B3F1A">
        <w:t xml:space="preserve"> for active follow up </w:t>
      </w:r>
      <w:r w:rsidR="000544AF">
        <w:t>to see</w:t>
      </w:r>
      <w:r w:rsidR="373B3F1A">
        <w:t xml:space="preserve"> whether they are on the right plan. </w:t>
      </w:r>
    </w:p>
    <w:p w14:paraId="29F7BF95" w14:textId="5555A83C" w:rsidR="0BB27F73" w:rsidRDefault="0BB27F73" w:rsidP="3D4847EA">
      <w:pPr>
        <w:rPr>
          <w:szCs w:val="24"/>
        </w:rPr>
      </w:pPr>
      <w:r w:rsidRPr="3D4847EA">
        <w:rPr>
          <w:szCs w:val="24"/>
        </w:rPr>
        <w:t>DPA recommends that</w:t>
      </w:r>
      <w:r w:rsidR="50D03639" w:rsidRPr="3D4847EA">
        <w:rPr>
          <w:szCs w:val="24"/>
        </w:rPr>
        <w:t xml:space="preserve"> the EA require all retailers</w:t>
      </w:r>
      <w:r w:rsidRPr="3D4847EA">
        <w:rPr>
          <w:szCs w:val="24"/>
        </w:rPr>
        <w:t xml:space="preserve"> </w:t>
      </w:r>
      <w:r w:rsidR="4BBB7338" w:rsidRPr="3D4847EA">
        <w:rPr>
          <w:szCs w:val="24"/>
        </w:rPr>
        <w:t>to undertake</w:t>
      </w:r>
      <w:r w:rsidRPr="3D4847EA">
        <w:rPr>
          <w:szCs w:val="24"/>
        </w:rPr>
        <w:t xml:space="preserve"> </w:t>
      </w:r>
      <w:r w:rsidR="6E3F59CA" w:rsidRPr="3D4847EA">
        <w:rPr>
          <w:szCs w:val="24"/>
        </w:rPr>
        <w:t>customer</w:t>
      </w:r>
      <w:r w:rsidR="4CA2D3AE" w:rsidRPr="3D4847EA">
        <w:rPr>
          <w:szCs w:val="24"/>
        </w:rPr>
        <w:t xml:space="preserve"> plan follow ups</w:t>
      </w:r>
      <w:r w:rsidR="040FE5B5" w:rsidRPr="3D4847EA">
        <w:rPr>
          <w:szCs w:val="24"/>
        </w:rPr>
        <w:t>, especially</w:t>
      </w:r>
      <w:r w:rsidR="52CCD1DB" w:rsidRPr="3D4847EA">
        <w:rPr>
          <w:szCs w:val="24"/>
        </w:rPr>
        <w:t xml:space="preserve"> with disable</w:t>
      </w:r>
      <w:r w:rsidR="74626366" w:rsidRPr="3D4847EA">
        <w:rPr>
          <w:szCs w:val="24"/>
        </w:rPr>
        <w:t xml:space="preserve">d </w:t>
      </w:r>
      <w:r w:rsidR="52CCD1DB" w:rsidRPr="3D4847EA">
        <w:rPr>
          <w:szCs w:val="24"/>
        </w:rPr>
        <w:t>customers</w:t>
      </w:r>
      <w:r w:rsidR="61E28E4B" w:rsidRPr="3D4847EA">
        <w:rPr>
          <w:szCs w:val="24"/>
        </w:rPr>
        <w:t xml:space="preserve"> and other high priority customers</w:t>
      </w:r>
      <w:r w:rsidR="6E3F59CA" w:rsidRPr="3D4847EA">
        <w:rPr>
          <w:szCs w:val="24"/>
        </w:rPr>
        <w:t xml:space="preserve"> on a quarterly basis, especially before the high-power use times of Autumn and Winter.</w:t>
      </w:r>
    </w:p>
    <w:p w14:paraId="31EA65B6" w14:textId="4932DDC8" w:rsidR="4E9D4AF3" w:rsidRDefault="4E9D4AF3" w:rsidP="3D4847EA">
      <w:pPr>
        <w:rPr>
          <w:szCs w:val="24"/>
        </w:rPr>
      </w:pPr>
      <w:r w:rsidRPr="3D4847EA">
        <w:rPr>
          <w:szCs w:val="24"/>
        </w:rPr>
        <w:lastRenderedPageBreak/>
        <w:t>DPA recommends that the EA a</w:t>
      </w:r>
      <w:r w:rsidR="04A265E8" w:rsidRPr="3D4847EA">
        <w:rPr>
          <w:szCs w:val="24"/>
        </w:rPr>
        <w:t>nd all retailers provide</w:t>
      </w:r>
      <w:r w:rsidRPr="3D4847EA">
        <w:rPr>
          <w:szCs w:val="24"/>
        </w:rPr>
        <w:t xml:space="preserve"> information regarding consumer power</w:t>
      </w:r>
      <w:r w:rsidR="00907D0E">
        <w:rPr>
          <w:szCs w:val="24"/>
        </w:rPr>
        <w:t>-</w:t>
      </w:r>
      <w:r w:rsidRPr="3D4847EA">
        <w:rPr>
          <w:szCs w:val="24"/>
        </w:rPr>
        <w:t xml:space="preserve">switching options in accessible formats including NZSL, Braille, Easy Read, large print, </w:t>
      </w:r>
      <w:proofErr w:type="gramStart"/>
      <w:r w:rsidRPr="3D4847EA">
        <w:rPr>
          <w:szCs w:val="24"/>
        </w:rPr>
        <w:t>audio</w:t>
      </w:r>
      <w:proofErr w:type="gramEnd"/>
      <w:r w:rsidRPr="3D4847EA">
        <w:rPr>
          <w:szCs w:val="24"/>
        </w:rPr>
        <w:t xml:space="preserve"> and captioned video.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D4847EA" w14:paraId="01DE26DB" w14:textId="77777777" w:rsidTr="61FBD07C">
        <w:trPr>
          <w:trHeight w:val="300"/>
        </w:trPr>
        <w:tc>
          <w:tcPr>
            <w:tcW w:w="9015" w:type="dxa"/>
          </w:tcPr>
          <w:p w14:paraId="663CE03F" w14:textId="3897C1CE" w:rsidR="0168E5F4" w:rsidRDefault="14F41D69" w:rsidP="61FBD07C">
            <w:pPr>
              <w:rPr>
                <w:rFonts w:eastAsia="Arial" w:cs="Arial"/>
                <w:szCs w:val="24"/>
              </w:rPr>
            </w:pPr>
            <w:r w:rsidRPr="61FBD07C">
              <w:rPr>
                <w:b/>
                <w:bCs/>
              </w:rPr>
              <w:t>Recommendation 1:</w:t>
            </w:r>
            <w:r>
              <w:t xml:space="preserve"> </w:t>
            </w:r>
            <w:r w:rsidR="01C11393" w:rsidRPr="61FBD07C">
              <w:rPr>
                <w:rFonts w:eastAsia="Arial" w:cs="Arial"/>
                <w:color w:val="000000" w:themeColor="text1"/>
                <w:szCs w:val="24"/>
              </w:rPr>
              <w:t>that plan comparison and swapping information from both the EA and power retailers is made available in accessible formats</w:t>
            </w:r>
          </w:p>
        </w:tc>
      </w:tr>
    </w:tbl>
    <w:p w14:paraId="73D9BADD" w14:textId="541604BC" w:rsidR="3D4847EA" w:rsidRDefault="3D4847EA" w:rsidP="3D4847EA">
      <w:pPr>
        <w:rPr>
          <w:b/>
          <w:bCs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D4847EA" w14:paraId="5B022675" w14:textId="77777777" w:rsidTr="61FBD07C">
        <w:trPr>
          <w:trHeight w:val="300"/>
        </w:trPr>
        <w:tc>
          <w:tcPr>
            <w:tcW w:w="9015" w:type="dxa"/>
          </w:tcPr>
          <w:p w14:paraId="7183196F" w14:textId="38024449" w:rsidR="4DAA5027" w:rsidRDefault="518FF4D3" w:rsidP="3D4847EA">
            <w:r w:rsidRPr="61FBD07C">
              <w:rPr>
                <w:b/>
                <w:bCs/>
              </w:rPr>
              <w:t xml:space="preserve">Recommendation 2: </w:t>
            </w:r>
            <w:r>
              <w:t>that the Authority when updating or creating a new power switching website</w:t>
            </w:r>
            <w:r w:rsidR="5CCE5B4B">
              <w:t xml:space="preserve"> build</w:t>
            </w:r>
            <w:r>
              <w:t xml:space="preserve"> it to the Government’s Web Accessibility Standard</w:t>
            </w:r>
            <w:r w:rsidR="4DAA5027" w:rsidRPr="61FBD07C">
              <w:rPr>
                <w:rStyle w:val="FootnoteReference"/>
              </w:rPr>
              <w:footnoteReference w:id="4"/>
            </w:r>
            <w:r>
              <w:t>.</w:t>
            </w:r>
          </w:p>
        </w:tc>
      </w:tr>
    </w:tbl>
    <w:p w14:paraId="2F3EEB69" w14:textId="34AFE7E3" w:rsidR="3D4847EA" w:rsidRDefault="3D4847EA" w:rsidP="3D4847EA">
      <w:pPr>
        <w:rPr>
          <w:b/>
          <w:bCs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D4847EA" w14:paraId="79652EB0" w14:textId="77777777" w:rsidTr="61FBD07C">
        <w:trPr>
          <w:trHeight w:val="300"/>
        </w:trPr>
        <w:tc>
          <w:tcPr>
            <w:tcW w:w="9015" w:type="dxa"/>
          </w:tcPr>
          <w:p w14:paraId="52879F4A" w14:textId="1F8EF6BC" w:rsidR="0168E5F4" w:rsidRDefault="14F41D69" w:rsidP="3D4847EA">
            <w:r w:rsidRPr="61FBD07C">
              <w:rPr>
                <w:b/>
                <w:bCs/>
              </w:rPr>
              <w:t xml:space="preserve">Recommendation </w:t>
            </w:r>
            <w:r w:rsidR="5DE951A5" w:rsidRPr="61FBD07C">
              <w:rPr>
                <w:b/>
                <w:bCs/>
              </w:rPr>
              <w:t>3</w:t>
            </w:r>
            <w:r w:rsidRPr="61FBD07C">
              <w:rPr>
                <w:b/>
                <w:bCs/>
              </w:rPr>
              <w:t xml:space="preserve">: </w:t>
            </w:r>
            <w:r>
              <w:t xml:space="preserve">that </w:t>
            </w:r>
            <w:r w:rsidR="52C29C31">
              <w:t>the EA require all power</w:t>
            </w:r>
            <w:r>
              <w:t xml:space="preserve"> retailers </w:t>
            </w:r>
            <w:r w:rsidR="02E1D37E">
              <w:t>to e</w:t>
            </w:r>
            <w:r>
              <w:t xml:space="preserve">nsure that disabled customers are designated high priority customers </w:t>
            </w:r>
            <w:r w:rsidR="77AD584F">
              <w:t>and that they are</w:t>
            </w:r>
            <w:r>
              <w:t xml:space="preserve"> active</w:t>
            </w:r>
            <w:r w:rsidR="4B577C8F">
              <w:t>ly followed up with around their plans every quarter</w:t>
            </w:r>
            <w:r>
              <w:t>.</w:t>
            </w:r>
          </w:p>
        </w:tc>
      </w:tr>
    </w:tbl>
    <w:p w14:paraId="29D02D0B" w14:textId="41CB3232" w:rsidR="3D4847EA" w:rsidRDefault="3D4847EA" w:rsidP="3D4847EA">
      <w:pPr>
        <w:rPr>
          <w:szCs w:val="24"/>
        </w:rPr>
      </w:pPr>
    </w:p>
    <w:p w14:paraId="1C5B8BA9" w14:textId="3D988CE1" w:rsidR="3D7A91ED" w:rsidRDefault="0AE60413" w:rsidP="61FBD07C">
      <w:pPr>
        <w:ind w:hanging="90"/>
      </w:pPr>
      <w:r>
        <w:t xml:space="preserve">  </w:t>
      </w:r>
      <w:r w:rsidR="6CC9E6A2">
        <w:t>We support</w:t>
      </w:r>
      <w:r w:rsidR="5868C51D">
        <w:t xml:space="preserve"> having </w:t>
      </w:r>
      <w:r w:rsidR="365E85C4">
        <w:t>the EA appoint consumer advisers</w:t>
      </w:r>
      <w:r w:rsidR="5868C51D">
        <w:t xml:space="preserve"> to support consumer switching a</w:t>
      </w:r>
      <w:r w:rsidR="53774E09">
        <w:t>ctivity</w:t>
      </w:r>
      <w:r w:rsidR="3C3CA70F">
        <w:t xml:space="preserve"> as it </w:t>
      </w:r>
      <w:r w:rsidR="0BA48B7B">
        <w:t xml:space="preserve">would provide consumers, including disabled consumers, with another tool when considering whether to change providers. </w:t>
      </w:r>
    </w:p>
    <w:p w14:paraId="192E6D6B" w14:textId="7FDFE325" w:rsidR="28608967" w:rsidRDefault="28608967" w:rsidP="3D4847EA">
      <w:r>
        <w:t xml:space="preserve">DPA recommends </w:t>
      </w:r>
      <w:r w:rsidR="378722B6">
        <w:t xml:space="preserve">that consumer advisers are trained in disability responsiveness and awareness as part of their role. </w:t>
      </w:r>
      <w:r w:rsidR="67A9D968">
        <w:t>If this training is undertaken as part of the adviser induction process, it will mean that they are equipped to</w:t>
      </w:r>
      <w:r w:rsidR="766C5EC9">
        <w:t xml:space="preserve"> </w:t>
      </w:r>
      <w:r w:rsidR="168606F1">
        <w:t xml:space="preserve">recognise and </w:t>
      </w:r>
      <w:r w:rsidR="766C5EC9">
        <w:t>respond to the needs of disabled electricity customers</w:t>
      </w:r>
      <w:r w:rsidR="2F3A9D0F">
        <w:t xml:space="preserve"> from their first day on the job</w:t>
      </w:r>
      <w:r w:rsidR="766C5EC9">
        <w:t>.</w:t>
      </w:r>
    </w:p>
    <w:p w14:paraId="6FF1C162" w14:textId="5EFC1265" w:rsidR="766C5EC9" w:rsidRDefault="766C5EC9" w:rsidP="3D4847EA">
      <w:pPr>
        <w:rPr>
          <w:szCs w:val="24"/>
        </w:rPr>
      </w:pPr>
      <w:r w:rsidRPr="3D4847EA">
        <w:rPr>
          <w:szCs w:val="24"/>
        </w:rPr>
        <w:t xml:space="preserve">The proposal to run more promotional campaigns for comparison and switching services </w:t>
      </w:r>
      <w:r w:rsidR="5C943070" w:rsidRPr="3D4847EA">
        <w:rPr>
          <w:szCs w:val="24"/>
        </w:rPr>
        <w:t>would be beneficial as well. These campaigns should be accessible to everyone, including disabled people</w:t>
      </w:r>
      <w:r w:rsidR="2759BF71" w:rsidRPr="3D4847EA">
        <w:rPr>
          <w:szCs w:val="24"/>
        </w:rPr>
        <w:t xml:space="preserve"> through making them available in the accessible formats outlined above.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D4847EA" w14:paraId="008ECB89" w14:textId="77777777" w:rsidTr="3D4847EA">
        <w:trPr>
          <w:trHeight w:val="300"/>
        </w:trPr>
        <w:tc>
          <w:tcPr>
            <w:tcW w:w="9015" w:type="dxa"/>
          </w:tcPr>
          <w:p w14:paraId="36A80010" w14:textId="35FF8C6E" w:rsidR="6147CFFC" w:rsidRDefault="6147CFFC" w:rsidP="3D4847EA">
            <w:pPr>
              <w:rPr>
                <w:szCs w:val="24"/>
              </w:rPr>
            </w:pPr>
            <w:r w:rsidRPr="3D4847EA">
              <w:rPr>
                <w:b/>
                <w:bCs/>
                <w:szCs w:val="24"/>
              </w:rPr>
              <w:t>Recommendation 4:</w:t>
            </w:r>
            <w:r w:rsidRPr="3D4847EA">
              <w:rPr>
                <w:szCs w:val="24"/>
              </w:rPr>
              <w:t xml:space="preserve"> that the EA train consumer advisers in disability responsiveness and awareness as part of their induction process.</w:t>
            </w:r>
          </w:p>
        </w:tc>
      </w:tr>
    </w:tbl>
    <w:p w14:paraId="5A32E6D5" w14:textId="66E37CF9" w:rsidR="3D4847EA" w:rsidRDefault="3D4847EA" w:rsidP="3D4847EA">
      <w:pPr>
        <w:rPr>
          <w:b/>
          <w:bCs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D4847EA" w14:paraId="5D0FB0FA" w14:textId="77777777" w:rsidTr="3D4847EA">
        <w:trPr>
          <w:trHeight w:val="300"/>
        </w:trPr>
        <w:tc>
          <w:tcPr>
            <w:tcW w:w="9015" w:type="dxa"/>
          </w:tcPr>
          <w:p w14:paraId="14FCDF3C" w14:textId="5B106376" w:rsidR="6147CFFC" w:rsidRDefault="6147CFFC" w:rsidP="3D4847EA">
            <w:pPr>
              <w:rPr>
                <w:szCs w:val="24"/>
              </w:rPr>
            </w:pPr>
            <w:r w:rsidRPr="3D4847EA">
              <w:rPr>
                <w:b/>
                <w:bCs/>
                <w:szCs w:val="24"/>
              </w:rPr>
              <w:lastRenderedPageBreak/>
              <w:t xml:space="preserve">Recommendation 5: </w:t>
            </w:r>
            <w:r w:rsidRPr="3D4847EA">
              <w:rPr>
                <w:szCs w:val="24"/>
              </w:rPr>
              <w:t>that the EA ensure that all promotional comparison and switching service campaigns are accessible to everyone including disabled people.</w:t>
            </w:r>
          </w:p>
        </w:tc>
      </w:tr>
    </w:tbl>
    <w:p w14:paraId="4B93C600" w14:textId="62A3EA49" w:rsidR="00F90077" w:rsidRPr="00F90077" w:rsidRDefault="00F90077" w:rsidP="3D4847EA">
      <w:pPr>
        <w:rPr>
          <w:szCs w:val="24"/>
        </w:rPr>
      </w:pPr>
    </w:p>
    <w:sectPr w:rsidR="00F90077" w:rsidRPr="00F90077" w:rsidSect="008C2C7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1D26" w14:textId="77777777" w:rsidR="008C2C7A" w:rsidRDefault="008C2C7A" w:rsidP="00634AEC">
      <w:pPr>
        <w:spacing w:after="0" w:line="240" w:lineRule="auto"/>
      </w:pPr>
      <w:r>
        <w:separator/>
      </w:r>
    </w:p>
  </w:endnote>
  <w:endnote w:type="continuationSeparator" w:id="0">
    <w:p w14:paraId="226BEFFD" w14:textId="77777777" w:rsidR="008C2C7A" w:rsidRDefault="008C2C7A" w:rsidP="00634AEC">
      <w:pPr>
        <w:spacing w:after="0" w:line="240" w:lineRule="auto"/>
      </w:pPr>
      <w:r>
        <w:continuationSeparator/>
      </w:r>
    </w:p>
  </w:endnote>
  <w:endnote w:type="continuationNotice" w:id="1">
    <w:p w14:paraId="06B95ABF" w14:textId="77777777" w:rsidR="008C2C7A" w:rsidRDefault="008C2C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D3E2" w14:textId="77777777" w:rsidR="002A0632" w:rsidRDefault="002A0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910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46A29" w14:textId="4625DC2D" w:rsidR="00953608" w:rsidRDefault="009536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73CD37" w14:textId="77777777" w:rsidR="00953608" w:rsidRDefault="00953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1F74" w14:textId="77777777" w:rsidR="002A0632" w:rsidRDefault="002A0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4A756" w14:textId="77777777" w:rsidR="008C2C7A" w:rsidRDefault="008C2C7A" w:rsidP="00634AEC">
      <w:pPr>
        <w:spacing w:after="0" w:line="240" w:lineRule="auto"/>
      </w:pPr>
      <w:r>
        <w:separator/>
      </w:r>
    </w:p>
  </w:footnote>
  <w:footnote w:type="continuationSeparator" w:id="0">
    <w:p w14:paraId="2780FA55" w14:textId="77777777" w:rsidR="008C2C7A" w:rsidRDefault="008C2C7A" w:rsidP="00634AEC">
      <w:pPr>
        <w:spacing w:after="0" w:line="240" w:lineRule="auto"/>
      </w:pPr>
      <w:r>
        <w:continuationSeparator/>
      </w:r>
    </w:p>
  </w:footnote>
  <w:footnote w:type="continuationNotice" w:id="1">
    <w:p w14:paraId="7F5531A1" w14:textId="77777777" w:rsidR="008C2C7A" w:rsidRDefault="008C2C7A">
      <w:pPr>
        <w:spacing w:after="0" w:line="240" w:lineRule="auto"/>
      </w:pPr>
    </w:p>
  </w:footnote>
  <w:footnote w:id="2">
    <w:p w14:paraId="28376CFF" w14:textId="41A4DE40" w:rsidR="2D2D2D71" w:rsidRDefault="2D2D2D71" w:rsidP="2D2D2D71">
      <w:pPr>
        <w:pStyle w:val="FootnoteText"/>
      </w:pPr>
      <w:r w:rsidRPr="2D2D2D71">
        <w:rPr>
          <w:rStyle w:val="FootnoteReference"/>
        </w:rPr>
        <w:footnoteRef/>
      </w:r>
      <w:r>
        <w:t xml:space="preserve"> </w:t>
      </w:r>
      <w:r w:rsidRPr="2D2D2D71">
        <w:rPr>
          <w:rFonts w:eastAsia="Arial" w:cs="Arial"/>
          <w:color w:val="000000" w:themeColor="text1"/>
          <w:lang w:val="en-NZ"/>
        </w:rPr>
        <w:t xml:space="preserve">Sumaria, P. (2022, September 21). Why are disabled people more vulnerable to rising energy costs and what can be done about it? Retrieved from </w:t>
      </w:r>
      <w:hyperlink r:id="rId1">
        <w:r w:rsidRPr="2D2D2D71">
          <w:rPr>
            <w:rStyle w:val="Hyperlink"/>
            <w:rFonts w:eastAsia="Arial" w:cs="Arial"/>
            <w:lang w:val="en-NZ"/>
          </w:rPr>
          <w:t>https://www.regen.co.uk/disability-and-energy/</w:t>
        </w:r>
      </w:hyperlink>
    </w:p>
  </w:footnote>
  <w:footnote w:id="3">
    <w:p w14:paraId="26F80902" w14:textId="42EB6034" w:rsidR="2D2D2D71" w:rsidRDefault="2D2D2D71" w:rsidP="2D2D2D71">
      <w:pPr>
        <w:pStyle w:val="FootnoteText"/>
      </w:pPr>
      <w:r w:rsidRPr="2D2D2D71">
        <w:rPr>
          <w:rStyle w:val="FootnoteReference"/>
        </w:rPr>
        <w:footnoteRef/>
      </w:r>
      <w:r>
        <w:t xml:space="preserve"> </w:t>
      </w:r>
      <w:r w:rsidRPr="2D2D2D71">
        <w:rPr>
          <w:rFonts w:eastAsia="Arial" w:cs="Arial"/>
          <w:color w:val="000000" w:themeColor="text1"/>
          <w:lang w:val="en-NZ"/>
        </w:rPr>
        <w:t xml:space="preserve">Statistics New Zealand. (2020, October 28). Measuring inequality for disabled New Zealanders: 2018. Retrieved from </w:t>
      </w:r>
      <w:hyperlink r:id="rId2">
        <w:r w:rsidRPr="2D2D2D71">
          <w:rPr>
            <w:rStyle w:val="Hyperlink"/>
            <w:rFonts w:eastAsia="Arial" w:cs="Arial"/>
            <w:lang w:val="en-NZ"/>
          </w:rPr>
          <w:t>https://www.stats.govt.nz/reports/measuring-inequality-for-disabled-new-zealanders-2018</w:t>
        </w:r>
      </w:hyperlink>
    </w:p>
  </w:footnote>
  <w:footnote w:id="4">
    <w:p w14:paraId="592F2869" w14:textId="11796EE2" w:rsidR="61FBD07C" w:rsidRDefault="61FBD07C" w:rsidP="61FBD07C">
      <w:pPr>
        <w:pStyle w:val="FootnoteText"/>
      </w:pPr>
      <w:r w:rsidRPr="61FBD07C">
        <w:rPr>
          <w:rStyle w:val="FootnoteReference"/>
        </w:rPr>
        <w:footnoteRef/>
      </w:r>
      <w:r>
        <w:t xml:space="preserve"> </w:t>
      </w:r>
      <w:hyperlink r:id="rId3">
        <w:r w:rsidRPr="61FBD07C">
          <w:rPr>
            <w:rStyle w:val="Hyperlink"/>
          </w:rPr>
          <w:t>Web Accessibility Standard 1.1 | NZ Digital government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DF6D" w14:textId="77777777" w:rsidR="002A0632" w:rsidRDefault="002A0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49B8F7" w14:paraId="06D37DD2" w14:textId="77777777" w:rsidTr="1249B8F7">
      <w:trPr>
        <w:trHeight w:val="300"/>
      </w:trPr>
      <w:tc>
        <w:tcPr>
          <w:tcW w:w="3005" w:type="dxa"/>
        </w:tcPr>
        <w:p w14:paraId="38F27E2D" w14:textId="4D207AE6" w:rsidR="1249B8F7" w:rsidRDefault="1249B8F7" w:rsidP="1249B8F7">
          <w:pPr>
            <w:pStyle w:val="Header"/>
            <w:ind w:left="-115"/>
          </w:pPr>
        </w:p>
      </w:tc>
      <w:tc>
        <w:tcPr>
          <w:tcW w:w="3005" w:type="dxa"/>
        </w:tcPr>
        <w:p w14:paraId="6C7F4A44" w14:textId="0FD65EC2" w:rsidR="1249B8F7" w:rsidRDefault="1249B8F7" w:rsidP="1249B8F7">
          <w:pPr>
            <w:pStyle w:val="Header"/>
            <w:jc w:val="center"/>
          </w:pPr>
        </w:p>
      </w:tc>
      <w:tc>
        <w:tcPr>
          <w:tcW w:w="3005" w:type="dxa"/>
        </w:tcPr>
        <w:p w14:paraId="2988F131" w14:textId="41740BAE" w:rsidR="1249B8F7" w:rsidRDefault="1249B8F7" w:rsidP="1249B8F7">
          <w:pPr>
            <w:pStyle w:val="Header"/>
            <w:ind w:right="-115"/>
            <w:jc w:val="right"/>
          </w:pPr>
        </w:p>
      </w:tc>
    </w:tr>
  </w:tbl>
  <w:p w14:paraId="5B05DDFA" w14:textId="22F4D03E" w:rsidR="1249B8F7" w:rsidRDefault="1249B8F7" w:rsidP="1249B8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4A48" w14:textId="26404252" w:rsidR="00634AEC" w:rsidRDefault="00BD51F1" w:rsidP="00BD51F1">
    <w:pPr>
      <w:pStyle w:val="Header"/>
      <w:jc w:val="center"/>
    </w:pPr>
    <w:r>
      <w:rPr>
        <w:noProof/>
      </w:rPr>
      <w:drawing>
        <wp:inline distT="0" distB="0" distL="0" distR="0" wp14:anchorId="0A3D0D26" wp14:editId="63326B49">
          <wp:extent cx="2447925" cy="1704975"/>
          <wp:effectExtent l="0" t="0" r="9525" b="9525"/>
          <wp:docPr id="1827498031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498031" name="Picture 1" descr="A logo with text on i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70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CDD"/>
    <w:multiLevelType w:val="hybridMultilevel"/>
    <w:tmpl w:val="9C12EB82"/>
    <w:lvl w:ilvl="0" w:tplc="5F28FC44">
      <w:start w:val="2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06D54"/>
    <w:multiLevelType w:val="hybridMultilevel"/>
    <w:tmpl w:val="CF56C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376E"/>
    <w:multiLevelType w:val="hybridMultilevel"/>
    <w:tmpl w:val="656C6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20479"/>
    <w:multiLevelType w:val="multilevel"/>
    <w:tmpl w:val="842066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5BE62"/>
    <w:multiLevelType w:val="hybridMultilevel"/>
    <w:tmpl w:val="482E5FCE"/>
    <w:lvl w:ilvl="0" w:tplc="F1F4AD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7EF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C8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66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CC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CE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C9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60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47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1C4C"/>
    <w:multiLevelType w:val="hybridMultilevel"/>
    <w:tmpl w:val="EF9E46EC"/>
    <w:lvl w:ilvl="0" w:tplc="63948D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01A7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3CA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00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C8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E2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C2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C3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81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58448"/>
    <w:multiLevelType w:val="hybridMultilevel"/>
    <w:tmpl w:val="ABDCCC56"/>
    <w:lvl w:ilvl="0" w:tplc="B41294E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D0A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84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24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47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47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AF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A8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E45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A3674"/>
    <w:multiLevelType w:val="hybridMultilevel"/>
    <w:tmpl w:val="2A8C95FC"/>
    <w:lvl w:ilvl="0" w:tplc="73FCE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2AED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27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6C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21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8B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60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CE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2A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CE60FBB"/>
    <w:multiLevelType w:val="hybridMultilevel"/>
    <w:tmpl w:val="4E903D60"/>
    <w:lvl w:ilvl="0" w:tplc="0884FA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F5E3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66CC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CF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61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D842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C5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854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8CB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64B8"/>
    <w:multiLevelType w:val="hybridMultilevel"/>
    <w:tmpl w:val="580AD674"/>
    <w:lvl w:ilvl="0" w:tplc="FFFFFFFF">
      <w:start w:val="1"/>
      <w:numFmt w:val="bullet"/>
      <w:pStyle w:val="BodyBullets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B8D359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6C08F"/>
    <w:multiLevelType w:val="hybridMultilevel"/>
    <w:tmpl w:val="6334609A"/>
    <w:lvl w:ilvl="0" w:tplc="5A42F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85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0D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E3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E5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E4D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E0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4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60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77AFB"/>
    <w:multiLevelType w:val="hybridMultilevel"/>
    <w:tmpl w:val="76AE5A18"/>
    <w:lvl w:ilvl="0" w:tplc="DF74F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03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07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86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2F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08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04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4B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C8B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EA55917"/>
    <w:multiLevelType w:val="hybridMultilevel"/>
    <w:tmpl w:val="672EAF90"/>
    <w:lvl w:ilvl="0" w:tplc="6FFED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A50DE"/>
    <w:multiLevelType w:val="hybridMultilevel"/>
    <w:tmpl w:val="2EAE1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528CF"/>
    <w:multiLevelType w:val="multilevel"/>
    <w:tmpl w:val="B4B29118"/>
    <w:lvl w:ilvl="0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095F6F"/>
    <w:multiLevelType w:val="hybridMultilevel"/>
    <w:tmpl w:val="A5EAA3F2"/>
    <w:lvl w:ilvl="0" w:tplc="2196FD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5F48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4A8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AB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47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4C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4B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6B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5CC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D100E"/>
    <w:multiLevelType w:val="hybridMultilevel"/>
    <w:tmpl w:val="FF34326C"/>
    <w:lvl w:ilvl="0" w:tplc="CA3A99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92F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EF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E9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21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B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8E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AA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A2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2458A"/>
    <w:multiLevelType w:val="hybridMultilevel"/>
    <w:tmpl w:val="066E2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F4AC2"/>
    <w:multiLevelType w:val="hybridMultilevel"/>
    <w:tmpl w:val="850EF5CC"/>
    <w:lvl w:ilvl="0" w:tplc="5F28FC44">
      <w:start w:val="2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22F1D2"/>
    <w:multiLevelType w:val="hybridMultilevel"/>
    <w:tmpl w:val="12466480"/>
    <w:lvl w:ilvl="0" w:tplc="0CF21E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C2E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27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EE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5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C8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81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81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985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72A01"/>
    <w:multiLevelType w:val="hybridMultilevel"/>
    <w:tmpl w:val="AECAEBFC"/>
    <w:lvl w:ilvl="0" w:tplc="20A6E5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1767B"/>
    <w:multiLevelType w:val="hybridMultilevel"/>
    <w:tmpl w:val="8FC88822"/>
    <w:lvl w:ilvl="0" w:tplc="6CAEC658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2040D"/>
    <w:multiLevelType w:val="hybridMultilevel"/>
    <w:tmpl w:val="0BB8F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632160">
    <w:abstractNumId w:val="10"/>
  </w:num>
  <w:num w:numId="2" w16cid:durableId="1429426296">
    <w:abstractNumId w:val="19"/>
  </w:num>
  <w:num w:numId="3" w16cid:durableId="1447774129">
    <w:abstractNumId w:val="15"/>
  </w:num>
  <w:num w:numId="4" w16cid:durableId="330915245">
    <w:abstractNumId w:val="16"/>
  </w:num>
  <w:num w:numId="5" w16cid:durableId="595216614">
    <w:abstractNumId w:val="4"/>
  </w:num>
  <w:num w:numId="6" w16cid:durableId="1221095073">
    <w:abstractNumId w:val="5"/>
  </w:num>
  <w:num w:numId="7" w16cid:durableId="1471021150">
    <w:abstractNumId w:val="6"/>
  </w:num>
  <w:num w:numId="8" w16cid:durableId="738291010">
    <w:abstractNumId w:val="1"/>
  </w:num>
  <w:num w:numId="9" w16cid:durableId="1642266780">
    <w:abstractNumId w:val="7"/>
  </w:num>
  <w:num w:numId="10" w16cid:durableId="33313314">
    <w:abstractNumId w:val="11"/>
  </w:num>
  <w:num w:numId="11" w16cid:durableId="112411638">
    <w:abstractNumId w:val="2"/>
  </w:num>
  <w:num w:numId="12" w16cid:durableId="1224946046">
    <w:abstractNumId w:val="22"/>
  </w:num>
  <w:num w:numId="13" w16cid:durableId="1188637382">
    <w:abstractNumId w:val="3"/>
  </w:num>
  <w:num w:numId="14" w16cid:durableId="1310935298">
    <w:abstractNumId w:val="13"/>
  </w:num>
  <w:num w:numId="15" w16cid:durableId="778573179">
    <w:abstractNumId w:val="17"/>
  </w:num>
  <w:num w:numId="16" w16cid:durableId="1909876398">
    <w:abstractNumId w:val="12"/>
  </w:num>
  <w:num w:numId="17" w16cid:durableId="407961963">
    <w:abstractNumId w:val="21"/>
  </w:num>
  <w:num w:numId="18" w16cid:durableId="899438071">
    <w:abstractNumId w:val="20"/>
  </w:num>
  <w:num w:numId="19" w16cid:durableId="1320159759">
    <w:abstractNumId w:val="0"/>
  </w:num>
  <w:num w:numId="20" w16cid:durableId="845363757">
    <w:abstractNumId w:val="18"/>
  </w:num>
  <w:num w:numId="21" w16cid:durableId="80565086">
    <w:abstractNumId w:val="9"/>
  </w:num>
  <w:num w:numId="22" w16cid:durableId="215556481">
    <w:abstractNumId w:val="14"/>
  </w:num>
  <w:num w:numId="23" w16cid:durableId="16578051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28"/>
    <w:rsid w:val="00013645"/>
    <w:rsid w:val="000230E8"/>
    <w:rsid w:val="00032614"/>
    <w:rsid w:val="00036320"/>
    <w:rsid w:val="000533B3"/>
    <w:rsid w:val="000544AF"/>
    <w:rsid w:val="000A33E1"/>
    <w:rsid w:val="000A7D87"/>
    <w:rsid w:val="000B1D28"/>
    <w:rsid w:val="000C2A3A"/>
    <w:rsid w:val="00107484"/>
    <w:rsid w:val="00133092"/>
    <w:rsid w:val="00151BD5"/>
    <w:rsid w:val="00192DFC"/>
    <w:rsid w:val="001A3927"/>
    <w:rsid w:val="001A52F4"/>
    <w:rsid w:val="001A63C9"/>
    <w:rsid w:val="001B734D"/>
    <w:rsid w:val="001C0434"/>
    <w:rsid w:val="001D29F1"/>
    <w:rsid w:val="00211292"/>
    <w:rsid w:val="00213391"/>
    <w:rsid w:val="00234512"/>
    <w:rsid w:val="00252A79"/>
    <w:rsid w:val="00255576"/>
    <w:rsid w:val="00256364"/>
    <w:rsid w:val="002A0632"/>
    <w:rsid w:val="002C0869"/>
    <w:rsid w:val="002D0647"/>
    <w:rsid w:val="002E0071"/>
    <w:rsid w:val="00317561"/>
    <w:rsid w:val="0035050C"/>
    <w:rsid w:val="00356CA0"/>
    <w:rsid w:val="00376117"/>
    <w:rsid w:val="0039004F"/>
    <w:rsid w:val="003B0C58"/>
    <w:rsid w:val="003B154D"/>
    <w:rsid w:val="003B3DF5"/>
    <w:rsid w:val="003E3C38"/>
    <w:rsid w:val="003E88A8"/>
    <w:rsid w:val="00412627"/>
    <w:rsid w:val="00422A0D"/>
    <w:rsid w:val="004600A7"/>
    <w:rsid w:val="004A0B5F"/>
    <w:rsid w:val="004D53A5"/>
    <w:rsid w:val="004E4BF0"/>
    <w:rsid w:val="005174CE"/>
    <w:rsid w:val="005244AE"/>
    <w:rsid w:val="005255B7"/>
    <w:rsid w:val="00534749"/>
    <w:rsid w:val="00547874"/>
    <w:rsid w:val="00562E74"/>
    <w:rsid w:val="00587C7D"/>
    <w:rsid w:val="005B7366"/>
    <w:rsid w:val="005C2088"/>
    <w:rsid w:val="00612023"/>
    <w:rsid w:val="00617B71"/>
    <w:rsid w:val="00626DE9"/>
    <w:rsid w:val="00634AEC"/>
    <w:rsid w:val="0065604C"/>
    <w:rsid w:val="00670B18"/>
    <w:rsid w:val="00691EB0"/>
    <w:rsid w:val="006B5018"/>
    <w:rsid w:val="006D416F"/>
    <w:rsid w:val="006E413E"/>
    <w:rsid w:val="006E76A1"/>
    <w:rsid w:val="00700885"/>
    <w:rsid w:val="007247B9"/>
    <w:rsid w:val="00771A3C"/>
    <w:rsid w:val="00775532"/>
    <w:rsid w:val="007928EF"/>
    <w:rsid w:val="007A5D60"/>
    <w:rsid w:val="007A725B"/>
    <w:rsid w:val="007B4A88"/>
    <w:rsid w:val="007E5DE1"/>
    <w:rsid w:val="00832EF2"/>
    <w:rsid w:val="008443CB"/>
    <w:rsid w:val="00851ABD"/>
    <w:rsid w:val="008B03B2"/>
    <w:rsid w:val="008C2C7A"/>
    <w:rsid w:val="008C3BEF"/>
    <w:rsid w:val="008E27E2"/>
    <w:rsid w:val="008E541D"/>
    <w:rsid w:val="00902171"/>
    <w:rsid w:val="0090474A"/>
    <w:rsid w:val="00907D0E"/>
    <w:rsid w:val="009140EA"/>
    <w:rsid w:val="00921D00"/>
    <w:rsid w:val="00923BB7"/>
    <w:rsid w:val="009514A6"/>
    <w:rsid w:val="00953608"/>
    <w:rsid w:val="00980ACE"/>
    <w:rsid w:val="0098203B"/>
    <w:rsid w:val="009923BC"/>
    <w:rsid w:val="00995DB7"/>
    <w:rsid w:val="009A0566"/>
    <w:rsid w:val="009B6EE7"/>
    <w:rsid w:val="009C25EE"/>
    <w:rsid w:val="009F43CD"/>
    <w:rsid w:val="00A12510"/>
    <w:rsid w:val="00A2709C"/>
    <w:rsid w:val="00A272AB"/>
    <w:rsid w:val="00A378EA"/>
    <w:rsid w:val="00A56F67"/>
    <w:rsid w:val="00A67D69"/>
    <w:rsid w:val="00A76CE2"/>
    <w:rsid w:val="00A77DD5"/>
    <w:rsid w:val="00AA7CBB"/>
    <w:rsid w:val="00B00392"/>
    <w:rsid w:val="00B3603A"/>
    <w:rsid w:val="00B7383C"/>
    <w:rsid w:val="00B819EB"/>
    <w:rsid w:val="00B9746B"/>
    <w:rsid w:val="00BA7E4B"/>
    <w:rsid w:val="00BD51F1"/>
    <w:rsid w:val="00BF7175"/>
    <w:rsid w:val="00C23CCD"/>
    <w:rsid w:val="00C3131E"/>
    <w:rsid w:val="00C473F0"/>
    <w:rsid w:val="00C64FFB"/>
    <w:rsid w:val="00C92B04"/>
    <w:rsid w:val="00CD11CE"/>
    <w:rsid w:val="00CD1230"/>
    <w:rsid w:val="00CD4578"/>
    <w:rsid w:val="00D0678F"/>
    <w:rsid w:val="00D11BCC"/>
    <w:rsid w:val="00D2076D"/>
    <w:rsid w:val="00D230E4"/>
    <w:rsid w:val="00D26396"/>
    <w:rsid w:val="00D419B2"/>
    <w:rsid w:val="00D451C5"/>
    <w:rsid w:val="00D6214D"/>
    <w:rsid w:val="00DC37F7"/>
    <w:rsid w:val="00E0554B"/>
    <w:rsid w:val="00E13065"/>
    <w:rsid w:val="00E20ED1"/>
    <w:rsid w:val="00E33BE8"/>
    <w:rsid w:val="00E47BC9"/>
    <w:rsid w:val="00E53192"/>
    <w:rsid w:val="00E5783A"/>
    <w:rsid w:val="00E65567"/>
    <w:rsid w:val="00E70E28"/>
    <w:rsid w:val="00E74B15"/>
    <w:rsid w:val="00E9298B"/>
    <w:rsid w:val="00EA7AD5"/>
    <w:rsid w:val="00EB17E7"/>
    <w:rsid w:val="00EC6AD9"/>
    <w:rsid w:val="00EE2B63"/>
    <w:rsid w:val="00EF2AA3"/>
    <w:rsid w:val="00EF44E1"/>
    <w:rsid w:val="00F03220"/>
    <w:rsid w:val="00F228DC"/>
    <w:rsid w:val="00F531F5"/>
    <w:rsid w:val="00F6466A"/>
    <w:rsid w:val="00F847CB"/>
    <w:rsid w:val="00F90077"/>
    <w:rsid w:val="00F90886"/>
    <w:rsid w:val="00F956DC"/>
    <w:rsid w:val="00FA1FCA"/>
    <w:rsid w:val="00FF5642"/>
    <w:rsid w:val="0168E5F4"/>
    <w:rsid w:val="016D5C45"/>
    <w:rsid w:val="01B49F87"/>
    <w:rsid w:val="01C11393"/>
    <w:rsid w:val="0230E8FB"/>
    <w:rsid w:val="02E1D37E"/>
    <w:rsid w:val="030AAFAB"/>
    <w:rsid w:val="03CCB95C"/>
    <w:rsid w:val="040FE5B5"/>
    <w:rsid w:val="048D57AF"/>
    <w:rsid w:val="04A265E8"/>
    <w:rsid w:val="0689FFCF"/>
    <w:rsid w:val="06CE4872"/>
    <w:rsid w:val="084FC1AB"/>
    <w:rsid w:val="08B952DC"/>
    <w:rsid w:val="08D1E3C1"/>
    <w:rsid w:val="092C2D17"/>
    <w:rsid w:val="0A6DB422"/>
    <w:rsid w:val="0AE60413"/>
    <w:rsid w:val="0B3C866B"/>
    <w:rsid w:val="0BA48B7B"/>
    <w:rsid w:val="0BB27F73"/>
    <w:rsid w:val="0CB191F1"/>
    <w:rsid w:val="0D8D3C33"/>
    <w:rsid w:val="0DC64A88"/>
    <w:rsid w:val="0DD32DC2"/>
    <w:rsid w:val="0E0FDD41"/>
    <w:rsid w:val="108F0461"/>
    <w:rsid w:val="115DB33A"/>
    <w:rsid w:val="12470CC5"/>
    <w:rsid w:val="1249B8F7"/>
    <w:rsid w:val="1290531B"/>
    <w:rsid w:val="135BAC8E"/>
    <w:rsid w:val="141C63AF"/>
    <w:rsid w:val="1459526C"/>
    <w:rsid w:val="14AD613D"/>
    <w:rsid w:val="14D6A019"/>
    <w:rsid w:val="14F41D69"/>
    <w:rsid w:val="15F32626"/>
    <w:rsid w:val="15FF560E"/>
    <w:rsid w:val="1635E9CF"/>
    <w:rsid w:val="16587437"/>
    <w:rsid w:val="168606F1"/>
    <w:rsid w:val="169D9C84"/>
    <w:rsid w:val="181F84A7"/>
    <w:rsid w:val="18AD9EEB"/>
    <w:rsid w:val="1959A868"/>
    <w:rsid w:val="1965DD1B"/>
    <w:rsid w:val="1AB3F909"/>
    <w:rsid w:val="1AD3C1D1"/>
    <w:rsid w:val="1BF89937"/>
    <w:rsid w:val="1CC64F14"/>
    <w:rsid w:val="1D0FB584"/>
    <w:rsid w:val="1D95C726"/>
    <w:rsid w:val="1DA25051"/>
    <w:rsid w:val="1E7D825F"/>
    <w:rsid w:val="1FC943D3"/>
    <w:rsid w:val="2070E750"/>
    <w:rsid w:val="2080F22E"/>
    <w:rsid w:val="20F85FF0"/>
    <w:rsid w:val="21895817"/>
    <w:rsid w:val="21BCEACB"/>
    <w:rsid w:val="221A3CB5"/>
    <w:rsid w:val="223B58D4"/>
    <w:rsid w:val="22FC01BF"/>
    <w:rsid w:val="2342832C"/>
    <w:rsid w:val="2350F382"/>
    <w:rsid w:val="23737A75"/>
    <w:rsid w:val="241191D5"/>
    <w:rsid w:val="24F056DC"/>
    <w:rsid w:val="25837D6E"/>
    <w:rsid w:val="273A8908"/>
    <w:rsid w:val="274BB934"/>
    <w:rsid w:val="2759BF71"/>
    <w:rsid w:val="281FC5C7"/>
    <w:rsid w:val="283A4E84"/>
    <w:rsid w:val="28564F6B"/>
    <w:rsid w:val="28608967"/>
    <w:rsid w:val="28C5EF43"/>
    <w:rsid w:val="28E502F8"/>
    <w:rsid w:val="29104307"/>
    <w:rsid w:val="2911131C"/>
    <w:rsid w:val="297FDBC6"/>
    <w:rsid w:val="29D61EE5"/>
    <w:rsid w:val="2A8359F6"/>
    <w:rsid w:val="2AC8D232"/>
    <w:rsid w:val="2B66AF93"/>
    <w:rsid w:val="2C1CA3BA"/>
    <w:rsid w:val="2C790DB1"/>
    <w:rsid w:val="2CA58F98"/>
    <w:rsid w:val="2CB4EF13"/>
    <w:rsid w:val="2CB6D5B0"/>
    <w:rsid w:val="2D2D2D71"/>
    <w:rsid w:val="2D4898AF"/>
    <w:rsid w:val="2D6B8B6A"/>
    <w:rsid w:val="2D8C3101"/>
    <w:rsid w:val="2DD1E9F7"/>
    <w:rsid w:val="2E022A09"/>
    <w:rsid w:val="2E635EAA"/>
    <w:rsid w:val="2EA69634"/>
    <w:rsid w:val="2EB40455"/>
    <w:rsid w:val="2ED7E65C"/>
    <w:rsid w:val="2EEE9E47"/>
    <w:rsid w:val="2F3A9D0F"/>
    <w:rsid w:val="2F665C2E"/>
    <w:rsid w:val="2FA925C6"/>
    <w:rsid w:val="3003A3B5"/>
    <w:rsid w:val="31022C8F"/>
    <w:rsid w:val="31A40878"/>
    <w:rsid w:val="31D33471"/>
    <w:rsid w:val="32264D30"/>
    <w:rsid w:val="32328611"/>
    <w:rsid w:val="329DFCF0"/>
    <w:rsid w:val="32ADFB2D"/>
    <w:rsid w:val="3353A1E8"/>
    <w:rsid w:val="33667FD4"/>
    <w:rsid w:val="336E9543"/>
    <w:rsid w:val="33C4D07F"/>
    <w:rsid w:val="352E5A8D"/>
    <w:rsid w:val="3561F9FF"/>
    <w:rsid w:val="356430CA"/>
    <w:rsid w:val="35EEC60F"/>
    <w:rsid w:val="35F80B66"/>
    <w:rsid w:val="365E85C4"/>
    <w:rsid w:val="368D7D37"/>
    <w:rsid w:val="36E37736"/>
    <w:rsid w:val="373B3F1A"/>
    <w:rsid w:val="378722B6"/>
    <w:rsid w:val="37FE167E"/>
    <w:rsid w:val="3818B0B4"/>
    <w:rsid w:val="381F0C22"/>
    <w:rsid w:val="38AD0997"/>
    <w:rsid w:val="3906B2AF"/>
    <w:rsid w:val="390B911F"/>
    <w:rsid w:val="39A9BB0F"/>
    <w:rsid w:val="39D5C158"/>
    <w:rsid w:val="39DE2712"/>
    <w:rsid w:val="3B108586"/>
    <w:rsid w:val="3B639A8C"/>
    <w:rsid w:val="3C0D9501"/>
    <w:rsid w:val="3C3CA70F"/>
    <w:rsid w:val="3C674CEA"/>
    <w:rsid w:val="3CCEE09B"/>
    <w:rsid w:val="3D4847EA"/>
    <w:rsid w:val="3D7A91ED"/>
    <w:rsid w:val="3E9B3B4E"/>
    <w:rsid w:val="3F3A8E25"/>
    <w:rsid w:val="3F7C7FF8"/>
    <w:rsid w:val="400A9A3C"/>
    <w:rsid w:val="41A66A9D"/>
    <w:rsid w:val="41F894F3"/>
    <w:rsid w:val="43819DEA"/>
    <w:rsid w:val="43E85BC1"/>
    <w:rsid w:val="455D8C37"/>
    <w:rsid w:val="456072D8"/>
    <w:rsid w:val="458ED52E"/>
    <w:rsid w:val="46101E55"/>
    <w:rsid w:val="46A703DD"/>
    <w:rsid w:val="472793A9"/>
    <w:rsid w:val="486245EC"/>
    <w:rsid w:val="489A7A93"/>
    <w:rsid w:val="49884507"/>
    <w:rsid w:val="498893CD"/>
    <w:rsid w:val="49A5BDDC"/>
    <w:rsid w:val="49C8A8AC"/>
    <w:rsid w:val="49E0ADCF"/>
    <w:rsid w:val="4B5591E5"/>
    <w:rsid w:val="4B577C8F"/>
    <w:rsid w:val="4B977050"/>
    <w:rsid w:val="4BBB7338"/>
    <w:rsid w:val="4C3735A5"/>
    <w:rsid w:val="4C3861B3"/>
    <w:rsid w:val="4C855E3A"/>
    <w:rsid w:val="4CA2D3AE"/>
    <w:rsid w:val="4CB3F76F"/>
    <w:rsid w:val="4DAA5027"/>
    <w:rsid w:val="4DF53E4B"/>
    <w:rsid w:val="4E6732BC"/>
    <w:rsid w:val="4E8CDB2B"/>
    <w:rsid w:val="4E98F696"/>
    <w:rsid w:val="4E9D4AF3"/>
    <w:rsid w:val="4ED4D389"/>
    <w:rsid w:val="4EF86ABE"/>
    <w:rsid w:val="4F9A9148"/>
    <w:rsid w:val="5028505F"/>
    <w:rsid w:val="5063142C"/>
    <w:rsid w:val="506680BD"/>
    <w:rsid w:val="506C738B"/>
    <w:rsid w:val="50D03639"/>
    <w:rsid w:val="50D4B509"/>
    <w:rsid w:val="50EFF405"/>
    <w:rsid w:val="5109BAF3"/>
    <w:rsid w:val="51251DDD"/>
    <w:rsid w:val="518FF4D3"/>
    <w:rsid w:val="51BC2849"/>
    <w:rsid w:val="51E5BC30"/>
    <w:rsid w:val="52C0EE3E"/>
    <w:rsid w:val="52C29C31"/>
    <w:rsid w:val="52CCD1DB"/>
    <w:rsid w:val="52D2320A"/>
    <w:rsid w:val="52F68EE3"/>
    <w:rsid w:val="536EF6A6"/>
    <w:rsid w:val="53774E09"/>
    <w:rsid w:val="53A2D424"/>
    <w:rsid w:val="5420288E"/>
    <w:rsid w:val="545CBE9F"/>
    <w:rsid w:val="550F1D76"/>
    <w:rsid w:val="55115514"/>
    <w:rsid w:val="5536854F"/>
    <w:rsid w:val="57CA0006"/>
    <w:rsid w:val="5868C51D"/>
    <w:rsid w:val="59278064"/>
    <w:rsid w:val="594AB8E5"/>
    <w:rsid w:val="595694E7"/>
    <w:rsid w:val="5965D067"/>
    <w:rsid w:val="5B06017E"/>
    <w:rsid w:val="5BA91819"/>
    <w:rsid w:val="5BB7DE85"/>
    <w:rsid w:val="5C943070"/>
    <w:rsid w:val="5CA1D1DF"/>
    <w:rsid w:val="5CCE5B4B"/>
    <w:rsid w:val="5D020EA3"/>
    <w:rsid w:val="5D072E94"/>
    <w:rsid w:val="5D580E1D"/>
    <w:rsid w:val="5DE951A5"/>
    <w:rsid w:val="5F81C9EA"/>
    <w:rsid w:val="6021146D"/>
    <w:rsid w:val="608DCB11"/>
    <w:rsid w:val="6124C57C"/>
    <w:rsid w:val="61329249"/>
    <w:rsid w:val="61432F2D"/>
    <w:rsid w:val="6147CFFC"/>
    <w:rsid w:val="61E28E4B"/>
    <w:rsid w:val="61FBD07C"/>
    <w:rsid w:val="62187E01"/>
    <w:rsid w:val="631475D4"/>
    <w:rsid w:val="63429457"/>
    <w:rsid w:val="63C2F06A"/>
    <w:rsid w:val="64A83A12"/>
    <w:rsid w:val="67A9D968"/>
    <w:rsid w:val="680AC372"/>
    <w:rsid w:val="6824C0F7"/>
    <w:rsid w:val="68580E7D"/>
    <w:rsid w:val="6AB1B8BB"/>
    <w:rsid w:val="6B7C6291"/>
    <w:rsid w:val="6C11CA4E"/>
    <w:rsid w:val="6CC9E6A2"/>
    <w:rsid w:val="6D468027"/>
    <w:rsid w:val="6E3F59CA"/>
    <w:rsid w:val="6E819E85"/>
    <w:rsid w:val="6ECEAF87"/>
    <w:rsid w:val="6EDF4505"/>
    <w:rsid w:val="70A17372"/>
    <w:rsid w:val="710F8C97"/>
    <w:rsid w:val="723D43D3"/>
    <w:rsid w:val="725E0204"/>
    <w:rsid w:val="72CB5E17"/>
    <w:rsid w:val="73D25FB2"/>
    <w:rsid w:val="743577B0"/>
    <w:rsid w:val="74626366"/>
    <w:rsid w:val="74672E78"/>
    <w:rsid w:val="74CCD727"/>
    <w:rsid w:val="756E3013"/>
    <w:rsid w:val="7599416E"/>
    <w:rsid w:val="75E0771D"/>
    <w:rsid w:val="766C5EC9"/>
    <w:rsid w:val="76D7F3A9"/>
    <w:rsid w:val="7738F7B3"/>
    <w:rsid w:val="77AD584F"/>
    <w:rsid w:val="78A5D0D5"/>
    <w:rsid w:val="78BEF9B6"/>
    <w:rsid w:val="78E6CA7C"/>
    <w:rsid w:val="7A239C88"/>
    <w:rsid w:val="7A7E45F8"/>
    <w:rsid w:val="7AFA36DC"/>
    <w:rsid w:val="7BBF6CE9"/>
    <w:rsid w:val="7BC0D390"/>
    <w:rsid w:val="7BEEF2CB"/>
    <w:rsid w:val="7C15B4DA"/>
    <w:rsid w:val="7D07BB00"/>
    <w:rsid w:val="7D5B3D4A"/>
    <w:rsid w:val="7E18DCC8"/>
    <w:rsid w:val="7E2D8172"/>
    <w:rsid w:val="7E373E87"/>
    <w:rsid w:val="7EA2B846"/>
    <w:rsid w:val="7EE8AB54"/>
    <w:rsid w:val="7F1B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241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1D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BD51F1"/>
    <w:pPr>
      <w:shd w:val="clear" w:color="auto" w:fill="FFFFFF"/>
      <w:spacing w:before="0" w:beforeAutospacing="0" w:after="240" w:afterAutospacing="0" w:line="360" w:lineRule="auto"/>
      <w:ind w:right="306"/>
      <w:outlineLvl w:val="0"/>
    </w:pPr>
    <w:rPr>
      <w:rFonts w:ascii="Arial" w:eastAsia="Arial" w:hAnsi="Arial" w:cs="Arial"/>
      <w:b/>
      <w:bCs/>
      <w:color w:val="002060"/>
      <w:sz w:val="36"/>
      <w:szCs w:val="36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E9298B"/>
    <w:pPr>
      <w:shd w:val="clear" w:color="auto" w:fill="FFFFFF"/>
      <w:spacing w:before="360" w:beforeAutospacing="0" w:after="120" w:afterAutospacing="0" w:line="276" w:lineRule="auto"/>
      <w:ind w:left="142" w:right="306"/>
      <w:outlineLvl w:val="1"/>
    </w:pPr>
    <w:rPr>
      <w:rFonts w:ascii="Arial Rounded MT Bold" w:hAnsi="Arial Rounded MT Bold" w:cs="Arial"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E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A66AC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D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D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D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D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D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D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298B"/>
    <w:rPr>
      <w:rFonts w:ascii="Arial Rounded MT Bold" w:eastAsia="Times New Roman" w:hAnsi="Arial Rounded MT Bold" w:cs="Arial"/>
      <w:color w:val="002060"/>
      <w:sz w:val="32"/>
      <w:szCs w:val="32"/>
      <w:shd w:val="clear" w:color="auto" w:fill="FFFFFF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unhideWhenUsed/>
    <w:rsid w:val="00634AE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4AEC"/>
    <w:rPr>
      <w:rFonts w:ascii="Arial" w:eastAsiaTheme="minorEastAsia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34A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EC"/>
  </w:style>
  <w:style w:type="paragraph" w:styleId="Footer">
    <w:name w:val="footer"/>
    <w:basedOn w:val="Normal"/>
    <w:link w:val="Foot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EC"/>
  </w:style>
  <w:style w:type="character" w:customStyle="1" w:styleId="Heading1Char">
    <w:name w:val="Heading 1 Char"/>
    <w:basedOn w:val="DefaultParagraphFont"/>
    <w:link w:val="Heading1"/>
    <w:uiPriority w:val="9"/>
    <w:rsid w:val="00BD51F1"/>
    <w:rPr>
      <w:rFonts w:ascii="Arial" w:eastAsia="Arial" w:hAnsi="Arial" w:cs="Arial"/>
      <w:b/>
      <w:bCs/>
      <w:color w:val="002060"/>
      <w:sz w:val="36"/>
      <w:szCs w:val="36"/>
      <w:shd w:val="clear" w:color="auto" w:fill="FFFFFF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32EF2"/>
    <w:rPr>
      <w:rFonts w:ascii="Arial" w:eastAsiaTheme="majorEastAsia" w:hAnsi="Arial" w:cstheme="majorBidi"/>
      <w:b/>
      <w:bCs/>
      <w:color w:val="4A66AC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B3DF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3DF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DF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DF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DF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DF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DF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DF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3DF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B3DF5"/>
    <w:rPr>
      <w:b/>
      <w:bCs/>
    </w:rPr>
  </w:style>
  <w:style w:type="character" w:styleId="Emphasis">
    <w:name w:val="Emphasis"/>
    <w:uiPriority w:val="20"/>
    <w:qFormat/>
    <w:rsid w:val="008E541D"/>
    <w:rPr>
      <w:rFonts w:ascii="Arial" w:hAnsi="Arial" w:cs="Arial"/>
      <w:color w:val="002060"/>
    </w:rPr>
  </w:style>
  <w:style w:type="paragraph" w:styleId="NoSpacing">
    <w:name w:val="No Spacing"/>
    <w:uiPriority w:val="1"/>
    <w:qFormat/>
    <w:rsid w:val="003B3D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3D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3DF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DF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DF5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3B3D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3DF5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3B3DF5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3DF5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3D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DF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33B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CC"/>
    <w:pPr>
      <w:spacing w:after="120" w:line="240" w:lineRule="auto"/>
    </w:pPr>
    <w:rPr>
      <w:rFonts w:eastAsia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CC"/>
    <w:rPr>
      <w:rFonts w:ascii="Arial" w:eastAsia="Calibri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2AB"/>
    <w:pPr>
      <w:spacing w:before="240" w:after="120" w:line="260" w:lineRule="exact"/>
      <w:jc w:val="both"/>
    </w:pPr>
    <w:rPr>
      <w:rFonts w:ascii="Georgia" w:eastAsiaTheme="minorHAnsi" w:hAnsi="Georgia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2AB"/>
    <w:rPr>
      <w:rFonts w:ascii="Georgia" w:eastAsiaTheme="minorHAnsi" w:hAnsi="Georgia" w:cs="Calibri"/>
      <w:sz w:val="20"/>
      <w:szCs w:val="20"/>
    </w:rPr>
  </w:style>
  <w:style w:type="character" w:customStyle="1" w:styleId="BodyBulletsChar">
    <w:name w:val="Body Bullets Char"/>
    <w:basedOn w:val="DefaultParagraphFont"/>
    <w:link w:val="BodyBullets"/>
    <w:locked/>
    <w:rsid w:val="00A272AB"/>
    <w:rPr>
      <w:rFonts w:ascii="Georgia" w:hAnsi="Georgia"/>
    </w:rPr>
  </w:style>
  <w:style w:type="paragraph" w:customStyle="1" w:styleId="BodyBullets">
    <w:name w:val="Body Bullets"/>
    <w:basedOn w:val="Normal"/>
    <w:link w:val="BodyBulletsChar"/>
    <w:rsid w:val="00A272AB"/>
    <w:pPr>
      <w:numPr>
        <w:numId w:val="21"/>
      </w:numPr>
      <w:spacing w:after="120" w:line="260" w:lineRule="exact"/>
      <w:jc w:val="both"/>
    </w:pPr>
    <w:rPr>
      <w:rFonts w:ascii="Georgia" w:hAnsi="Georgia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F0"/>
    <w:pPr>
      <w:spacing w:after="20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3F0"/>
    <w:rPr>
      <w:rFonts w:ascii="Arial" w:eastAsia="Calibri" w:hAnsi="Arial" w:cs="Arial"/>
      <w:b/>
      <w:bCs/>
      <w:sz w:val="20"/>
      <w:szCs w:val="20"/>
    </w:rPr>
  </w:style>
  <w:style w:type="paragraph" w:customStyle="1" w:styleId="paragraph">
    <w:name w:val="paragraph"/>
    <w:basedOn w:val="Normal"/>
    <w:rsid w:val="009A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normaltextrun">
    <w:name w:val="normaltextrun"/>
    <w:basedOn w:val="DefaultParagraphFont"/>
    <w:rsid w:val="009A0566"/>
  </w:style>
  <w:style w:type="character" w:customStyle="1" w:styleId="eop">
    <w:name w:val="eop"/>
    <w:basedOn w:val="DefaultParagraphFont"/>
    <w:rsid w:val="009A0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perscript">
    <w:name w:val="superscript"/>
    <w:basedOn w:val="DefaultParagraphFont"/>
    <w:uiPriority w:val="1"/>
    <w:rsid w:val="2D2D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di.govt.nz/guidance-and-resources/guidance-for-policy-makes/" TargetMode="External"/><Relationship Id="rId18" Type="http://schemas.openxmlformats.org/officeDocument/2006/relationships/hyperlink" Target="https://www.moh.govt.nz/notebook/nbbooks.nsf/0/5E544A3A23BEAECDCC2580FE007F7518/$file/faiva-ora-2016-2021-national-pasifika-disability-plan-feb17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archives.govt.nz/discover-our-stories/the-treaty-of-waitangi" TargetMode="External"/><Relationship Id="rId17" Type="http://schemas.openxmlformats.org/officeDocument/2006/relationships/hyperlink" Target="https://www.health.govt.nz/publication/whaia-te-ao-marama-2018-2022-maori-disability-action-pla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ablinggoodlives.co.nz/about-egl/egl-approach/principle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cy@dpa.org.nz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odi.govt.nz/nz-disability-strategy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development/desa/disabilities/convention-on-the-rights-of-persons-with-disabilities.html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igital.govt.nz/standards-and-guidance/nz-government-web-standards/web-accessibility-standard-1-1/" TargetMode="External"/><Relationship Id="rId2" Type="http://schemas.openxmlformats.org/officeDocument/2006/relationships/hyperlink" Target="https://www.stats.govt.nz/reports/measuring-inequality-for-disabled-new-zealanders-2018" TargetMode="External"/><Relationship Id="rId1" Type="http://schemas.openxmlformats.org/officeDocument/2006/relationships/hyperlink" Target="https://www.regen.co.uk/disability-and-energy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7" ma:contentTypeDescription="Create a new document." ma:contentTypeScope="" ma:versionID="1c1e0c0e41aa2266f788164a844df89a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6c5e2e814099223e017fcc176688bf36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6a0b457-56f3-435c-b8c2-61e98378e764}" ma:internalName="TaxCatchAll" ma:showField="CatchAllData" ma:web="d2301f34-5cde-48a5-92d5-a0089b6a6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301f34-5cde-48a5-92d5-a0089b6a6a0e">
      <UserInfo>
        <DisplayName>Pip Townsend</DisplayName>
        <AccountId>279</AccountId>
        <AccountType/>
      </UserInfo>
      <UserInfo>
        <DisplayName>Chris Ford</DisplayName>
        <AccountId>82</AccountId>
        <AccountType/>
      </UserInfo>
      <UserInfo>
        <DisplayName>Mojo Mathers</DisplayName>
        <AccountId>12</AccountId>
        <AccountType/>
      </UserInfo>
    </SharedWithUsers>
    <lcf76f155ced4ddcb4097134ff3c332f xmlns="c67b1871-600f-4b9e-a4b1-ab314be2ee20">
      <Terms xmlns="http://schemas.microsoft.com/office/infopath/2007/PartnerControls"/>
    </lcf76f155ced4ddcb4097134ff3c332f>
    <TaxCatchAll xmlns="d2301f34-5cde-48a5-92d5-a0089b6a6a0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2501B-7532-477F-AFAB-01A447E95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D350A-A732-46BA-AB06-E7DA47020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209F2-BB7C-45DA-A787-1E118600F38A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d2301f34-5cde-48a5-92d5-a0089b6a6a0e"/>
    <ds:schemaRef ds:uri="c67b1871-600f-4b9e-a4b1-ab314be2ee20"/>
  </ds:schemaRefs>
</ds:datastoreItem>
</file>

<file path=customXml/itemProps4.xml><?xml version="1.0" encoding="utf-8"?>
<ds:datastoreItem xmlns:ds="http://schemas.openxmlformats.org/officeDocument/2006/customXml" ds:itemID="{A71DBD82-0BBF-4C00-811A-B51966CD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2024-03-15T04:23:00Z</dcterms:created>
  <dcterms:modified xsi:type="dcterms:W3CDTF">2024-03-15T04:23:00Z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