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4D523137" w:rsidR="00587C7D" w:rsidRPr="005244AE" w:rsidRDefault="008C3DE8" w:rsidP="00E9298B">
      <w:r>
        <w:t>July</w:t>
      </w:r>
      <w:r w:rsidR="007C55AE">
        <w:t xml:space="preserve"> 2022</w:t>
      </w:r>
    </w:p>
    <w:p w14:paraId="713BEF40" w14:textId="77777777" w:rsidR="00587C7D" w:rsidRPr="005244AE" w:rsidRDefault="00587C7D" w:rsidP="00E9298B"/>
    <w:p w14:paraId="4410E38B" w14:textId="34082006" w:rsidR="000A33E1" w:rsidRPr="005244AE" w:rsidRDefault="00587C7D" w:rsidP="00E9298B">
      <w:r w:rsidRPr="005244AE">
        <w:t>To</w:t>
      </w:r>
      <w:r w:rsidR="007C55AE">
        <w:t xml:space="preserve"> </w:t>
      </w:r>
      <w:r w:rsidR="00220522">
        <w:t>Greater Wellington Regional Council [Metlink]</w:t>
      </w:r>
    </w:p>
    <w:p w14:paraId="56F6172C" w14:textId="22DCAA48" w:rsidR="00587C7D" w:rsidRDefault="00587C7D" w:rsidP="00E9298B">
      <w:r>
        <w:t>Please find attached</w:t>
      </w:r>
      <w:r w:rsidR="000A33E1">
        <w:t xml:space="preserve"> DPA’s</w:t>
      </w:r>
      <w:r>
        <w:t xml:space="preserve"> submission</w:t>
      </w:r>
      <w:r w:rsidR="008443CB">
        <w:t xml:space="preserve"> </w:t>
      </w:r>
      <w:r w:rsidR="008E541D">
        <w:t>on Future Fares</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007800D4">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7D499D5A">
        <w:rPr>
          <w:rStyle w:val="Emphasis"/>
        </w:rPr>
        <w:t>Contact:</w:t>
      </w:r>
    </w:p>
    <w:p w14:paraId="2748A8F8" w14:textId="06BCA18E" w:rsidR="00E01BE4" w:rsidRDefault="00E01BE4" w:rsidP="370D21B6">
      <w:pPr>
        <w:spacing w:line="276" w:lineRule="auto"/>
        <w:rPr>
          <w:rStyle w:val="Emphasis"/>
          <w:rFonts w:ascii="Arial Rounded MT Bold" w:hAnsi="Arial Rounded MT Bold"/>
          <w:b/>
          <w:bCs/>
          <w:sz w:val="28"/>
          <w:szCs w:val="28"/>
        </w:rPr>
      </w:pPr>
    </w:p>
    <w:p w14:paraId="73B87721" w14:textId="3C9AB2B0" w:rsidR="00E01BE4" w:rsidRDefault="00F617B4" w:rsidP="137D0EA4">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05BE806C" w14:textId="190BCBBD" w:rsidR="008C3DE8" w:rsidRDefault="008C3DE8"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Acting Kaituitui – Wellington Region</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58785B" w:rsidP="137D0EA4">
      <w:pPr>
        <w:spacing w:line="276" w:lineRule="auto"/>
        <w:rPr>
          <w:rStyle w:val="Emphasis"/>
          <w:rFonts w:ascii="Arial Rounded MT Bold" w:hAnsi="Arial Rounded MT Bold"/>
          <w:b/>
          <w:bCs/>
          <w:sz w:val="28"/>
          <w:szCs w:val="28"/>
        </w:rPr>
      </w:pPr>
      <w:hyperlink r:id="rId11">
        <w:r w:rsidR="00F617B4" w:rsidRPr="7D499D5A">
          <w:rPr>
            <w:rStyle w:val="Hyperlink"/>
            <w:rFonts w:ascii="Arial Rounded MT Bold" w:hAnsi="Arial Rounded MT Bold" w:cs="Arial"/>
            <w:b/>
            <w:bCs/>
            <w:sz w:val="28"/>
            <w:szCs w:val="28"/>
          </w:rPr>
          <w:t>chris.ford@dpa.org.nz</w:t>
        </w:r>
      </w:hyperlink>
      <w:r w:rsidR="00F617B4" w:rsidRPr="7D499D5A">
        <w:rPr>
          <w:rStyle w:val="Emphasis"/>
          <w:rFonts w:ascii="Arial Rounded MT Bold" w:hAnsi="Arial Rounded MT Bold"/>
          <w:b/>
          <w:bCs/>
          <w:sz w:val="28"/>
          <w:szCs w:val="28"/>
        </w:rPr>
        <w:t xml:space="preserve"> </w:t>
      </w:r>
    </w:p>
    <w:p w14:paraId="1640C893" w14:textId="1C6647FC" w:rsidR="7D499D5A" w:rsidRDefault="7D499D5A">
      <w:r>
        <w:br w:type="page"/>
      </w:r>
    </w:p>
    <w:p w14:paraId="6904C149" w14:textId="4A5CFDEB" w:rsidR="00634AEC" w:rsidRPr="00F617B4" w:rsidRDefault="00634AEC" w:rsidP="001E4943">
      <w:pPr>
        <w:spacing w:line="276" w:lineRule="auto"/>
        <w:rPr>
          <w:rFonts w:ascii="Arial Rounded MT Bold" w:hAnsi="Arial Rounded MT Bold"/>
          <w:color w:val="072B62" w:themeColor="background2" w:themeShade="40"/>
          <w:sz w:val="32"/>
          <w:szCs w:val="32"/>
        </w:rPr>
      </w:pPr>
      <w:r w:rsidRPr="00F617B4">
        <w:rPr>
          <w:rFonts w:ascii="Arial Rounded MT Bold" w:hAnsi="Arial Rounded MT Bold"/>
          <w:color w:val="072B62" w:themeColor="background2" w:themeShade="40"/>
          <w:sz w:val="32"/>
          <w:szCs w:val="32"/>
        </w:rPr>
        <w:lastRenderedPageBreak/>
        <w:t>Introducing D</w:t>
      </w:r>
      <w:r w:rsidR="002E0071" w:rsidRPr="00F617B4">
        <w:rPr>
          <w:rFonts w:ascii="Arial Rounded MT Bold" w:hAnsi="Arial Rounded MT Bold"/>
          <w:color w:val="072B62" w:themeColor="background2" w:themeShade="40"/>
          <w:sz w:val="32"/>
          <w:szCs w:val="32"/>
        </w:rPr>
        <w:t xml:space="preserve">isabled </w:t>
      </w:r>
      <w:r w:rsidRPr="00F617B4">
        <w:rPr>
          <w:rFonts w:ascii="Arial Rounded MT Bold" w:hAnsi="Arial Rounded MT Bold"/>
          <w:color w:val="072B62" w:themeColor="background2" w:themeShade="40"/>
          <w:sz w:val="32"/>
          <w:szCs w:val="32"/>
        </w:rPr>
        <w:t>P</w:t>
      </w:r>
      <w:r w:rsidR="002E0071" w:rsidRPr="00F617B4">
        <w:rPr>
          <w:rFonts w:ascii="Arial Rounded MT Bold" w:hAnsi="Arial Rounded MT Bold"/>
          <w:color w:val="072B62" w:themeColor="background2" w:themeShade="40"/>
          <w:sz w:val="32"/>
          <w:szCs w:val="32"/>
        </w:rPr>
        <w:t xml:space="preserve">ersons </w:t>
      </w:r>
      <w:r w:rsidRPr="00F617B4">
        <w:rPr>
          <w:rFonts w:ascii="Arial Rounded MT Bold" w:hAnsi="Arial Rounded MT Bold"/>
          <w:color w:val="072B62" w:themeColor="background2" w:themeShade="40"/>
          <w:sz w:val="32"/>
          <w:szCs w:val="32"/>
        </w:rPr>
        <w:t>A</w:t>
      </w:r>
      <w:r w:rsidR="002E0071" w:rsidRPr="00F617B4">
        <w:rPr>
          <w:rFonts w:ascii="Arial Rounded MT Bold" w:hAnsi="Arial Rounded MT Bold"/>
          <w:color w:val="072B62" w:themeColor="background2" w:themeShade="40"/>
          <w:sz w:val="32"/>
          <w:szCs w:val="32"/>
        </w:rPr>
        <w:t>ssembly</w:t>
      </w:r>
      <w:r w:rsidRPr="00F617B4">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6001631">
        <w:rPr>
          <w:rFonts w:cs="Arial"/>
        </w:rPr>
        <w:t>innovation and good practice</w:t>
      </w:r>
    </w:p>
    <w:p w14:paraId="62CB3036" w14:textId="6B907A8A" w:rsidR="56001631" w:rsidRDefault="56001631" w:rsidP="56001631">
      <w:pPr>
        <w:spacing w:after="160"/>
        <w:ind w:left="720"/>
        <w:rPr>
          <w:szCs w:val="24"/>
        </w:rPr>
      </w:pP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0DC5D37">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w:t>
      </w:r>
      <w:r w:rsidRPr="02BF7A24">
        <w:rPr>
          <w:rStyle w:val="normaltextrun"/>
          <w:rFonts w:ascii="Arial" w:hAnsi="Arial" w:cs="Arial"/>
        </w:rPr>
        <w:t xml:space="preserve">else </w:t>
      </w:r>
      <w:r w:rsidRPr="02BF7A24">
        <w:rPr>
          <w:rStyle w:val="FootnoteReference"/>
          <w:rFonts w:ascii="Arial" w:hAnsi="Arial" w:cs="Arial"/>
        </w:rPr>
        <w:footnoteReference w:id="2"/>
      </w:r>
      <w:r w:rsidRPr="02BF7A24">
        <w:rPr>
          <w:rStyle w:val="normaltextrun"/>
          <w:rFonts w:ascii="Arial" w:hAnsi="Arial" w:cs="Arial"/>
        </w:rPr>
        <w:t>.</w:t>
      </w:r>
      <w:r>
        <w:rPr>
          <w:rStyle w:val="normaltextrun"/>
          <w:rFonts w:ascii="Arial" w:hAnsi="Arial" w:cs="Arial"/>
        </w:rPr>
        <w:t xml:space="preserve"> All state bodies in New Zealand, including local and regional government, have a responsibility to uphold the principles and articles of this convention. There are a number of UNCRPD articles pertinent to this submission, including:</w:t>
      </w:r>
      <w:r>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56001631">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39ACA533" w14:textId="09563D63" w:rsidR="56001631" w:rsidRDefault="56001631" w:rsidP="56001631">
      <w:pPr>
        <w:rPr>
          <w:rStyle w:val="normaltextrun"/>
          <w:szCs w:val="24"/>
        </w:rPr>
      </w:pPr>
    </w:p>
    <w:p w14:paraId="2B666DE9" w14:textId="551DD1FD" w:rsidR="50790307" w:rsidRDefault="50790307" w:rsidP="50790307">
      <w:pPr>
        <w:rPr>
          <w:rStyle w:val="normaltextrun"/>
          <w:rFonts w:cs="Arial"/>
          <w:b/>
          <w:bCs/>
          <w:color w:val="0E57C4" w:themeColor="background2" w:themeShade="80"/>
          <w:sz w:val="28"/>
          <w:szCs w:val="28"/>
        </w:rPr>
      </w:pPr>
      <w:r w:rsidRPr="50790307">
        <w:rPr>
          <w:rStyle w:val="normaltextrun"/>
          <w:rFonts w:cs="Arial"/>
          <w:b/>
          <w:bCs/>
          <w:color w:val="0E57C4" w:themeColor="background2" w:themeShade="80"/>
          <w:sz w:val="28"/>
          <w:szCs w:val="28"/>
        </w:rPr>
        <w:lastRenderedPageBreak/>
        <w:t>Article 19 – Living independently and being included in the community</w:t>
      </w:r>
    </w:p>
    <w:p w14:paraId="69C8CFD0" w14:textId="2D5BF129" w:rsidR="50790307" w:rsidRDefault="50790307" w:rsidP="50790307">
      <w:pPr>
        <w:rPr>
          <w:rStyle w:val="normaltextrun"/>
          <w:szCs w:val="24"/>
        </w:rPr>
      </w:pPr>
      <w:r w:rsidRPr="50790307">
        <w:rPr>
          <w:rStyle w:val="normaltextrun"/>
          <w:szCs w:val="24"/>
        </w:rPr>
        <w:t>“States parties to the present Convention recognise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0DC5D3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w:t>
      </w:r>
      <w:r w:rsidRPr="02BF7A24">
        <w:rPr>
          <w:rStyle w:val="normaltextrun"/>
          <w:rFonts w:ascii="Arial" w:hAnsi="Arial" w:cs="Arial"/>
        </w:rPr>
        <w:t xml:space="preserve">happen </w:t>
      </w:r>
      <w:r w:rsidRPr="02BF7A24">
        <w:rPr>
          <w:rStyle w:val="FootnoteReference"/>
          <w:rFonts w:ascii="Arial" w:hAnsi="Arial" w:cs="Arial"/>
        </w:rPr>
        <w:footnoteReference w:id="3"/>
      </w:r>
      <w:r w:rsidRPr="02BF7A24">
        <w:rPr>
          <w:rStyle w:val="normaltextrun"/>
          <w:rFonts w:ascii="Arial" w:hAnsi="Arial" w:cs="Arial"/>
        </w:rPr>
        <w:t>.</w:t>
      </w:r>
      <w:r>
        <w:rPr>
          <w:rStyle w:val="normaltextrun"/>
          <w:rFonts w:ascii="Arial" w:hAnsi="Arial" w:cs="Arial"/>
        </w:rPr>
        <w:t xml:space="preserve"> It identifies eight outcome areas contributing to achieving this vision, including:</w:t>
      </w:r>
      <w:r>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79975685" w14:textId="715F7A36" w:rsidR="00C5373A" w:rsidRDefault="00C5373A" w:rsidP="008E541D">
      <w:pPr>
        <w:rPr>
          <w:rStyle w:val="normaltextrun"/>
          <w:color w:val="000000"/>
        </w:rPr>
      </w:pPr>
      <w:r>
        <w:rPr>
          <w:rStyle w:val="normaltextrun"/>
          <w:color w:val="000000"/>
        </w:rPr>
        <w:t xml:space="preserve">DPA is providing this submission for </w:t>
      </w:r>
      <w:r w:rsidR="00EC1424">
        <w:rPr>
          <w:rStyle w:val="normaltextrun"/>
          <w:color w:val="000000"/>
        </w:rPr>
        <w:t xml:space="preserve">the Greater Wellington Regional Council’s Metlink </w:t>
      </w:r>
      <w:r w:rsidR="00FB0375">
        <w:rPr>
          <w:rStyle w:val="normaltextrun"/>
          <w:color w:val="000000"/>
        </w:rPr>
        <w:t>team to assist in the development of future fares.</w:t>
      </w:r>
    </w:p>
    <w:p w14:paraId="17740FA1" w14:textId="05C616A3" w:rsidR="00FB0375" w:rsidRDefault="00FB0375" w:rsidP="008E541D">
      <w:pPr>
        <w:rPr>
          <w:rStyle w:val="normaltextrun"/>
          <w:color w:val="000000"/>
        </w:rPr>
      </w:pPr>
      <w:r w:rsidRPr="56001631">
        <w:rPr>
          <w:rStyle w:val="normaltextrun"/>
          <w:color w:val="000000" w:themeColor="text1"/>
        </w:rPr>
        <w:t>We welcome the opportunity to be involved in this discussion</w:t>
      </w:r>
      <w:r w:rsidR="00A4419D" w:rsidRPr="56001631">
        <w:rPr>
          <w:rStyle w:val="normaltextrun"/>
          <w:color w:val="000000" w:themeColor="text1"/>
        </w:rPr>
        <w:t xml:space="preserve"> as public transport, and accessibility to it, is a significant ongoing issue for the disability community in Greater Wellington as well as around Aotearoa.</w:t>
      </w:r>
    </w:p>
    <w:p w14:paraId="04C8DB39" w14:textId="1093596F" w:rsidR="002C2E13" w:rsidRDefault="002C2E13" w:rsidP="008E541D">
      <w:pPr>
        <w:rPr>
          <w:rStyle w:val="normaltextrun"/>
          <w:color w:val="000000"/>
        </w:rPr>
      </w:pPr>
      <w:r w:rsidRPr="78C64B4B">
        <w:rPr>
          <w:rStyle w:val="normaltextrun"/>
          <w:color w:val="000000" w:themeColor="text1"/>
        </w:rPr>
        <w:t xml:space="preserve">As we have pointed out in past submissions to the Council on this subject, the affordability of public transport </w:t>
      </w:r>
      <w:r w:rsidR="003F6786" w:rsidRPr="78C64B4B">
        <w:rPr>
          <w:rStyle w:val="normaltextrun"/>
          <w:color w:val="000000" w:themeColor="text1"/>
        </w:rPr>
        <w:t xml:space="preserve">is a major factor which impacts on </w:t>
      </w:r>
      <w:r w:rsidR="00C4356B" w:rsidRPr="78C64B4B">
        <w:rPr>
          <w:rStyle w:val="normaltextrun"/>
          <w:color w:val="000000" w:themeColor="text1"/>
        </w:rPr>
        <w:t xml:space="preserve">the poor level of </w:t>
      </w:r>
      <w:r w:rsidR="003F6786" w:rsidRPr="78C64B4B">
        <w:rPr>
          <w:rStyle w:val="normaltextrun"/>
          <w:color w:val="000000" w:themeColor="text1"/>
        </w:rPr>
        <w:t>transport accessibility for disabled people, given that many of us are on low incomes</w:t>
      </w:r>
      <w:r w:rsidR="00DD7428" w:rsidRPr="78C64B4B">
        <w:rPr>
          <w:rStyle w:val="normaltextrun"/>
          <w:color w:val="000000" w:themeColor="text1"/>
        </w:rPr>
        <w:t>.</w:t>
      </w:r>
    </w:p>
    <w:p w14:paraId="1287812C" w14:textId="1A60E1FA" w:rsidR="007C6803" w:rsidRDefault="007C6803" w:rsidP="008E541D">
      <w:pPr>
        <w:rPr>
          <w:rStyle w:val="normaltextrun"/>
          <w:color w:val="000000"/>
        </w:rPr>
      </w:pPr>
      <w:r w:rsidRPr="78C64B4B">
        <w:rPr>
          <w:rStyle w:val="normaltextrun"/>
          <w:color w:val="000000" w:themeColor="text1"/>
        </w:rPr>
        <w:lastRenderedPageBreak/>
        <w:t>Public transport is, in fact, a lifeline for many disabled people to</w:t>
      </w:r>
      <w:r w:rsidR="00423284" w:rsidRPr="78C64B4B">
        <w:rPr>
          <w:rStyle w:val="normaltextrun"/>
          <w:color w:val="000000" w:themeColor="text1"/>
        </w:rPr>
        <w:t xml:space="preserve"> </w:t>
      </w:r>
      <w:r w:rsidRPr="78C64B4B">
        <w:rPr>
          <w:rStyle w:val="normaltextrun"/>
          <w:color w:val="000000" w:themeColor="text1"/>
        </w:rPr>
        <w:t>the</w:t>
      </w:r>
      <w:r w:rsidR="00423284" w:rsidRPr="78C64B4B">
        <w:rPr>
          <w:rStyle w:val="normaltextrun"/>
          <w:color w:val="000000" w:themeColor="text1"/>
        </w:rPr>
        <w:t xml:space="preserve"> wider</w:t>
      </w:r>
      <w:r w:rsidRPr="78C64B4B">
        <w:rPr>
          <w:rStyle w:val="normaltextrun"/>
          <w:color w:val="000000" w:themeColor="text1"/>
        </w:rPr>
        <w:t xml:space="preserve"> community around </w:t>
      </w:r>
      <w:r w:rsidR="005C4FD4" w:rsidRPr="78C64B4B">
        <w:rPr>
          <w:rStyle w:val="normaltextrun"/>
          <w:color w:val="000000" w:themeColor="text1"/>
        </w:rPr>
        <w:t>us. H</w:t>
      </w:r>
      <w:r w:rsidR="00A85B4B" w:rsidRPr="78C64B4B">
        <w:rPr>
          <w:rStyle w:val="normaltextrun"/>
          <w:color w:val="000000" w:themeColor="text1"/>
        </w:rPr>
        <w:t>aving</w:t>
      </w:r>
      <w:r w:rsidR="005C4FD4" w:rsidRPr="78C64B4B">
        <w:rPr>
          <w:rStyle w:val="normaltextrun"/>
          <w:color w:val="000000" w:themeColor="text1"/>
        </w:rPr>
        <w:t xml:space="preserve"> access to affordable (and even free) public transport would be</w:t>
      </w:r>
      <w:r w:rsidR="00A85B4B" w:rsidRPr="78C64B4B">
        <w:rPr>
          <w:rStyle w:val="normaltextrun"/>
          <w:color w:val="000000" w:themeColor="text1"/>
        </w:rPr>
        <w:t xml:space="preserve"> vitally </w:t>
      </w:r>
      <w:r w:rsidR="00F252DE" w:rsidRPr="78C64B4B">
        <w:rPr>
          <w:rStyle w:val="normaltextrun"/>
          <w:color w:val="000000" w:themeColor="text1"/>
        </w:rPr>
        <w:t>important in enabling our</w:t>
      </w:r>
      <w:r w:rsidR="001F18B1" w:rsidRPr="78C64B4B">
        <w:rPr>
          <w:rStyle w:val="normaltextrun"/>
          <w:color w:val="000000" w:themeColor="text1"/>
        </w:rPr>
        <w:t xml:space="preserve"> full</w:t>
      </w:r>
      <w:r w:rsidR="00F252DE" w:rsidRPr="78C64B4B">
        <w:rPr>
          <w:rStyle w:val="normaltextrun"/>
          <w:color w:val="000000" w:themeColor="text1"/>
        </w:rPr>
        <w:t xml:space="preserve"> participation in the everyday life of our</w:t>
      </w:r>
      <w:r w:rsidR="00025573" w:rsidRPr="78C64B4B">
        <w:rPr>
          <w:rStyle w:val="normaltextrun"/>
          <w:color w:val="000000" w:themeColor="text1"/>
        </w:rPr>
        <w:t xml:space="preserve"> communities in terms of being able to access employment, housing,</w:t>
      </w:r>
      <w:r w:rsidR="00257C30" w:rsidRPr="78C64B4B">
        <w:rPr>
          <w:rStyle w:val="normaltextrun"/>
          <w:color w:val="000000" w:themeColor="text1"/>
        </w:rPr>
        <w:t xml:space="preserve"> shopping, health care, educational/training,</w:t>
      </w:r>
      <w:r w:rsidR="00025573" w:rsidRPr="78C64B4B">
        <w:rPr>
          <w:rStyle w:val="normaltextrun"/>
          <w:color w:val="000000" w:themeColor="text1"/>
        </w:rPr>
        <w:t xml:space="preserve"> recreational as well as</w:t>
      </w:r>
      <w:r w:rsidR="005546CE" w:rsidRPr="78C64B4B">
        <w:rPr>
          <w:rStyle w:val="normaltextrun"/>
          <w:color w:val="000000" w:themeColor="text1"/>
        </w:rPr>
        <w:t xml:space="preserve"> cultural,</w:t>
      </w:r>
      <w:r w:rsidR="00025573" w:rsidRPr="78C64B4B">
        <w:rPr>
          <w:rStyle w:val="normaltextrun"/>
          <w:color w:val="000000" w:themeColor="text1"/>
        </w:rPr>
        <w:t xml:space="preserve"> sporting</w:t>
      </w:r>
      <w:r w:rsidR="001B51EB" w:rsidRPr="78C64B4B">
        <w:rPr>
          <w:rStyle w:val="normaltextrun"/>
          <w:color w:val="000000" w:themeColor="text1"/>
        </w:rPr>
        <w:t xml:space="preserve"> </w:t>
      </w:r>
      <w:r w:rsidR="00025573" w:rsidRPr="78C64B4B">
        <w:rPr>
          <w:rStyle w:val="normaltextrun"/>
          <w:color w:val="000000" w:themeColor="text1"/>
        </w:rPr>
        <w:t>and leisure opportunities and the ability to interact with families/whanau, friends and neighbours.</w:t>
      </w:r>
    </w:p>
    <w:p w14:paraId="34E96BDD" w14:textId="2762D51E" w:rsidR="00EE74AF" w:rsidRDefault="00EE74AF" w:rsidP="008E541D">
      <w:pPr>
        <w:rPr>
          <w:rStyle w:val="normaltextrun"/>
          <w:color w:val="000000"/>
        </w:rPr>
      </w:pPr>
      <w:r w:rsidRPr="56001631">
        <w:rPr>
          <w:rStyle w:val="normaltextrun"/>
          <w:color w:val="000000" w:themeColor="text1"/>
        </w:rPr>
        <w:t xml:space="preserve">Currently, we are aware that the Government’s public transport fare concession schemes </w:t>
      </w:r>
      <w:r w:rsidR="004C1CE8" w:rsidRPr="56001631">
        <w:rPr>
          <w:rStyle w:val="normaltextrun"/>
          <w:color w:val="000000" w:themeColor="text1"/>
        </w:rPr>
        <w:t>will only apply through to August 31</w:t>
      </w:r>
      <w:r w:rsidR="00A518F2" w:rsidRPr="56001631">
        <w:rPr>
          <w:rStyle w:val="normaltextrun"/>
          <w:color w:val="000000" w:themeColor="text1"/>
        </w:rPr>
        <w:t>, 2022</w:t>
      </w:r>
      <w:r w:rsidR="004C1CE8" w:rsidRPr="56001631">
        <w:rPr>
          <w:rStyle w:val="normaltextrun"/>
          <w:color w:val="000000" w:themeColor="text1"/>
        </w:rPr>
        <w:t xml:space="preserve"> (after being extended by a further two months) but will permanently apply to all Community Services Card (CSC) holders after that date.</w:t>
      </w:r>
    </w:p>
    <w:p w14:paraId="4783C3CB" w14:textId="2B21A644" w:rsidR="004C1CE8" w:rsidRDefault="004C1CE8" w:rsidP="56001631">
      <w:pPr>
        <w:rPr>
          <w:rStyle w:val="normaltextrun"/>
          <w:color w:val="000000"/>
        </w:rPr>
      </w:pPr>
      <w:r w:rsidRPr="56001631">
        <w:rPr>
          <w:rStyle w:val="normaltextrun"/>
          <w:color w:val="000000" w:themeColor="text1"/>
        </w:rPr>
        <w:t xml:space="preserve">While these moves on the part of central government are welcomed by </w:t>
      </w:r>
      <w:r w:rsidR="00F93473" w:rsidRPr="56001631">
        <w:rPr>
          <w:rStyle w:val="normaltextrun"/>
          <w:color w:val="000000" w:themeColor="text1"/>
        </w:rPr>
        <w:t>DPA and other community organisations, there is still mor</w:t>
      </w:r>
      <w:r w:rsidR="001E6314" w:rsidRPr="56001631">
        <w:rPr>
          <w:rStyle w:val="normaltextrun"/>
          <w:color w:val="000000" w:themeColor="text1"/>
        </w:rPr>
        <w:t>e work to be done</w:t>
      </w:r>
      <w:r w:rsidR="00F93473" w:rsidRPr="56001631">
        <w:rPr>
          <w:rStyle w:val="normaltextrun"/>
          <w:color w:val="000000" w:themeColor="text1"/>
        </w:rPr>
        <w:t xml:space="preserve"> on public transport accessibility</w:t>
      </w:r>
      <w:r w:rsidR="004231CF" w:rsidRPr="56001631">
        <w:rPr>
          <w:rStyle w:val="normaltextrun"/>
          <w:color w:val="000000" w:themeColor="text1"/>
        </w:rPr>
        <w:t xml:space="preserve"> and affordability</w:t>
      </w:r>
      <w:r w:rsidR="00F93473" w:rsidRPr="56001631">
        <w:rPr>
          <w:rStyle w:val="normaltextrun"/>
          <w:color w:val="000000" w:themeColor="text1"/>
        </w:rPr>
        <w:t>,</w:t>
      </w:r>
      <w:r w:rsidR="000509BD" w:rsidRPr="56001631">
        <w:rPr>
          <w:rStyle w:val="normaltextrun"/>
          <w:color w:val="000000" w:themeColor="text1"/>
        </w:rPr>
        <w:t xml:space="preserve"> especially given that climate change will make uptake of public transport more essential as time passes.</w:t>
      </w:r>
    </w:p>
    <w:p w14:paraId="36AF4A07" w14:textId="128E45E5" w:rsidR="000509BD" w:rsidRDefault="001F5E8E" w:rsidP="56001631">
      <w:pPr>
        <w:rPr>
          <w:rFonts w:eastAsia="Times New Roman" w:cs="Arial"/>
        </w:rPr>
      </w:pPr>
      <w:r w:rsidRPr="56001631">
        <w:rPr>
          <w:rStyle w:val="normaltextrun"/>
          <w:color w:val="000000" w:themeColor="text1"/>
        </w:rPr>
        <w:t xml:space="preserve">DPA is one of the NGO's supporting the </w:t>
      </w:r>
      <w:r w:rsidR="00FA5026" w:rsidRPr="56001631">
        <w:rPr>
          <w:rFonts w:eastAsia="Times New Roman" w:cs="Arial"/>
        </w:rPr>
        <w:t>Pōneke Collective for Public Transport Equity</w:t>
      </w:r>
      <w:r w:rsidR="00AB0DBD" w:rsidRPr="56001631">
        <w:rPr>
          <w:rFonts w:eastAsia="Times New Roman" w:cs="Arial"/>
        </w:rPr>
        <w:t xml:space="preserve">. We support </w:t>
      </w:r>
      <w:r w:rsidR="00C65BE9" w:rsidRPr="56001631">
        <w:rPr>
          <w:rFonts w:eastAsia="Times New Roman" w:cs="Arial"/>
        </w:rPr>
        <w:t>some of their</w:t>
      </w:r>
      <w:r w:rsidR="00AB0DBD" w:rsidRPr="56001631">
        <w:rPr>
          <w:rFonts w:eastAsia="Times New Roman" w:cs="Arial"/>
        </w:rPr>
        <w:t xml:space="preserve"> key asks</w:t>
      </w:r>
      <w:r w:rsidR="00C65BE9" w:rsidRPr="56001631">
        <w:rPr>
          <w:rFonts w:eastAsia="Times New Roman" w:cs="Arial"/>
        </w:rPr>
        <w:t xml:space="preserve">, albeit with a few differences, such as </w:t>
      </w:r>
      <w:r w:rsidR="00AA3825" w:rsidRPr="56001631">
        <w:rPr>
          <w:rFonts w:eastAsia="Times New Roman" w:cs="Arial"/>
        </w:rPr>
        <w:t>that we support</w:t>
      </w:r>
      <w:r w:rsidR="00C65BE9" w:rsidRPr="56001631">
        <w:rPr>
          <w:rFonts w:eastAsia="Times New Roman" w:cs="Arial"/>
        </w:rPr>
        <w:t xml:space="preserve"> free fares for all disabled people and</w:t>
      </w:r>
      <w:r w:rsidR="00E804C8" w:rsidRPr="56001631">
        <w:rPr>
          <w:rFonts w:eastAsia="Times New Roman" w:cs="Arial"/>
        </w:rPr>
        <w:t xml:space="preserve"> </w:t>
      </w:r>
      <w:r w:rsidR="00723FEC" w:rsidRPr="56001631">
        <w:rPr>
          <w:rFonts w:eastAsia="Times New Roman" w:cs="Arial"/>
        </w:rPr>
        <w:t>removing individualised</w:t>
      </w:r>
      <w:r w:rsidR="00E804C8" w:rsidRPr="56001631">
        <w:rPr>
          <w:rFonts w:eastAsia="Times New Roman" w:cs="Arial"/>
        </w:rPr>
        <w:t xml:space="preserve"> fare caps</w:t>
      </w:r>
      <w:r w:rsidR="00D16865" w:rsidRPr="56001631">
        <w:rPr>
          <w:rFonts w:eastAsia="Times New Roman" w:cs="Arial"/>
        </w:rPr>
        <w:t xml:space="preserve">. </w:t>
      </w:r>
      <w:r w:rsidR="00FA5026" w:rsidRPr="56001631">
        <w:rPr>
          <w:rFonts w:eastAsia="Times New Roman" w:cs="Arial"/>
        </w:rPr>
        <w:t>Pōneke Collective for Public Transport Equity also</w:t>
      </w:r>
      <w:r w:rsidR="00F53423" w:rsidRPr="56001631">
        <w:rPr>
          <w:rFonts w:eastAsia="Times New Roman" w:cs="Arial"/>
        </w:rPr>
        <w:t xml:space="preserve"> support</w:t>
      </w:r>
      <w:r w:rsidR="00A558AC" w:rsidRPr="56001631">
        <w:rPr>
          <w:rFonts w:eastAsia="Times New Roman" w:cs="Arial"/>
        </w:rPr>
        <w:t xml:space="preserve"> our call that</w:t>
      </w:r>
      <w:r w:rsidR="00834B70" w:rsidRPr="56001631">
        <w:rPr>
          <w:rFonts w:eastAsia="Times New Roman" w:cs="Arial"/>
        </w:rPr>
        <w:t xml:space="preserve"> </w:t>
      </w:r>
      <w:r w:rsidR="00A558AC" w:rsidRPr="56001631">
        <w:rPr>
          <w:rFonts w:eastAsia="Times New Roman" w:cs="Arial"/>
        </w:rPr>
        <w:t>the Total Mobility scheme become</w:t>
      </w:r>
      <w:r w:rsidR="001A3EBD" w:rsidRPr="56001631">
        <w:rPr>
          <w:rFonts w:eastAsia="Times New Roman" w:cs="Arial"/>
        </w:rPr>
        <w:t xml:space="preserve"> fare free, as was the case during the </w:t>
      </w:r>
      <w:r w:rsidR="00643489" w:rsidRPr="56001631">
        <w:rPr>
          <w:rFonts w:eastAsia="Times New Roman" w:cs="Arial"/>
        </w:rPr>
        <w:t>Level 2, 3 and 4 lockdowns in mid-2020.</w:t>
      </w:r>
      <w:r w:rsidR="00004F2E" w:rsidRPr="56001631">
        <w:rPr>
          <w:rFonts w:eastAsia="Times New Roman" w:cs="Arial"/>
        </w:rPr>
        <w:t xml:space="preserve"> </w:t>
      </w:r>
    </w:p>
    <w:p w14:paraId="46CEB51D" w14:textId="02F42574" w:rsidR="00891278" w:rsidRDefault="00F92A5E" w:rsidP="56001631">
      <w:pPr>
        <w:rPr>
          <w:rFonts w:eastAsia="Times New Roman" w:cs="Arial"/>
        </w:rPr>
      </w:pPr>
      <w:r w:rsidRPr="56001631">
        <w:rPr>
          <w:rFonts w:eastAsia="Times New Roman" w:cs="Arial"/>
        </w:rPr>
        <w:t>Ultimately, though, DPA wants</w:t>
      </w:r>
      <w:r w:rsidR="00891278" w:rsidRPr="56001631">
        <w:rPr>
          <w:rFonts w:eastAsia="Times New Roman" w:cs="Arial"/>
        </w:rPr>
        <w:t xml:space="preserve"> to see both central and local government </w:t>
      </w:r>
      <w:r w:rsidR="002B3285" w:rsidRPr="56001631">
        <w:rPr>
          <w:rFonts w:eastAsia="Times New Roman" w:cs="Arial"/>
        </w:rPr>
        <w:t>go even further and ensure</w:t>
      </w:r>
      <w:r w:rsidR="00891278" w:rsidRPr="56001631">
        <w:rPr>
          <w:rFonts w:eastAsia="Times New Roman" w:cs="Arial"/>
        </w:rPr>
        <w:t xml:space="preserve"> there is sufficient funding</w:t>
      </w:r>
      <w:r w:rsidR="0056782C" w:rsidRPr="56001631">
        <w:rPr>
          <w:rFonts w:eastAsia="Times New Roman" w:cs="Arial"/>
        </w:rPr>
        <w:t xml:space="preserve"> provided</w:t>
      </w:r>
      <w:r w:rsidR="00D16865" w:rsidRPr="56001631">
        <w:rPr>
          <w:rFonts w:eastAsia="Times New Roman" w:cs="Arial"/>
        </w:rPr>
        <w:t xml:space="preserve"> by both</w:t>
      </w:r>
      <w:r w:rsidR="0056782C" w:rsidRPr="56001631">
        <w:rPr>
          <w:rFonts w:eastAsia="Times New Roman" w:cs="Arial"/>
        </w:rPr>
        <w:t xml:space="preserve"> to make all public transport (including Total Mobility)</w:t>
      </w:r>
      <w:r w:rsidRPr="56001631">
        <w:rPr>
          <w:rFonts w:eastAsia="Times New Roman" w:cs="Arial"/>
        </w:rPr>
        <w:t xml:space="preserve"> universally</w:t>
      </w:r>
      <w:r w:rsidR="0056782C" w:rsidRPr="56001631">
        <w:rPr>
          <w:rFonts w:eastAsia="Times New Roman" w:cs="Arial"/>
        </w:rPr>
        <w:t xml:space="preserve"> fare free across the country</w:t>
      </w:r>
      <w:r w:rsidR="00406C3E" w:rsidRPr="56001631">
        <w:rPr>
          <w:rFonts w:eastAsia="Times New Roman" w:cs="Arial"/>
        </w:rPr>
        <w:t>. This would be for all</w:t>
      </w:r>
      <w:r w:rsidR="00EA3BA5" w:rsidRPr="56001631">
        <w:rPr>
          <w:rFonts w:eastAsia="Times New Roman" w:cs="Arial"/>
        </w:rPr>
        <w:t xml:space="preserve"> New Zealanders</w:t>
      </w:r>
      <w:r w:rsidR="00E00291" w:rsidRPr="56001631">
        <w:rPr>
          <w:rFonts w:eastAsia="Times New Roman" w:cs="Arial"/>
        </w:rPr>
        <w:t xml:space="preserve">, irrespective of age, income or </w:t>
      </w:r>
      <w:r w:rsidR="00F76BF7" w:rsidRPr="56001631">
        <w:rPr>
          <w:rFonts w:eastAsia="Times New Roman" w:cs="Arial"/>
        </w:rPr>
        <w:t>other</w:t>
      </w:r>
      <w:r w:rsidR="00DA64C3" w:rsidRPr="56001631">
        <w:rPr>
          <w:rFonts w:eastAsia="Times New Roman" w:cs="Arial"/>
        </w:rPr>
        <w:t xml:space="preserve"> status</w:t>
      </w:r>
      <w:r w:rsidR="00EA3BA5" w:rsidRPr="56001631">
        <w:rPr>
          <w:rFonts w:eastAsia="Times New Roman" w:cs="Arial"/>
        </w:rPr>
        <w:t>.</w:t>
      </w:r>
    </w:p>
    <w:p w14:paraId="16A78D2A" w14:textId="2B3BCDDD" w:rsidR="00EA3BA5" w:rsidRDefault="00EA3BA5" w:rsidP="008E541D">
      <w:pPr>
        <w:rPr>
          <w:rStyle w:val="normaltextrun"/>
          <w:color w:val="000000"/>
        </w:rPr>
      </w:pPr>
      <w:r w:rsidRPr="56001631">
        <w:rPr>
          <w:rFonts w:eastAsia="Times New Roman" w:cs="Arial"/>
        </w:rPr>
        <w:t>However, our recommendations in this submission,</w:t>
      </w:r>
      <w:r w:rsidR="00E00291" w:rsidRPr="56001631">
        <w:rPr>
          <w:rFonts w:eastAsia="Times New Roman" w:cs="Arial"/>
        </w:rPr>
        <w:t xml:space="preserve"> a</w:t>
      </w:r>
      <w:r w:rsidR="00E25475" w:rsidRPr="56001631">
        <w:rPr>
          <w:rFonts w:eastAsia="Times New Roman" w:cs="Arial"/>
        </w:rPr>
        <w:t xml:space="preserve">s well as those by </w:t>
      </w:r>
      <w:r w:rsidRPr="56001631">
        <w:rPr>
          <w:rFonts w:eastAsia="Times New Roman" w:cs="Arial"/>
        </w:rPr>
        <w:t>the</w:t>
      </w:r>
      <w:r w:rsidR="00262298" w:rsidRPr="56001631">
        <w:rPr>
          <w:rFonts w:eastAsia="Times New Roman" w:cs="Arial"/>
        </w:rPr>
        <w:t xml:space="preserve"> Pōneke Collective for Public Transport</w:t>
      </w:r>
      <w:r w:rsidR="00E00291" w:rsidRPr="56001631">
        <w:rPr>
          <w:rFonts w:eastAsia="Times New Roman" w:cs="Arial"/>
        </w:rPr>
        <w:t xml:space="preserve"> are a good starting point in this direction.</w:t>
      </w:r>
    </w:p>
    <w:p w14:paraId="24704E1A" w14:textId="483795E6" w:rsidR="56001631" w:rsidRDefault="56001631">
      <w:r>
        <w:br w:type="page"/>
      </w:r>
    </w:p>
    <w:p w14:paraId="3D5B5AAC" w14:textId="42C25105" w:rsidR="003E3C38" w:rsidRDefault="003E3C38" w:rsidP="00C45D1C">
      <w:pPr>
        <w:pStyle w:val="Heading1"/>
      </w:pPr>
      <w:r>
        <w:lastRenderedPageBreak/>
        <w:t>DPA’s recommendations</w:t>
      </w:r>
    </w:p>
    <w:p w14:paraId="74B24642" w14:textId="4E9B0F9A" w:rsidR="003E3C38" w:rsidRDefault="004D53A5" w:rsidP="003E3C38">
      <w:pPr>
        <w:rPr>
          <w:rFonts w:cs="Arial"/>
        </w:rPr>
      </w:pPr>
      <w:r>
        <w:rPr>
          <w:rFonts w:cs="Arial"/>
        </w:rPr>
        <w:t>The Disabled Person’s Assembly recommends</w:t>
      </w:r>
      <w:r w:rsidR="00193F86">
        <w:rPr>
          <w:rFonts w:cs="Arial"/>
        </w:rPr>
        <w:t>:</w:t>
      </w:r>
    </w:p>
    <w:p w14:paraId="6FF9E3C3" w14:textId="65686712" w:rsidR="00193F86" w:rsidRPr="00BD5273" w:rsidRDefault="00496A4F" w:rsidP="56001631">
      <w:pPr>
        <w:pStyle w:val="ListParagraph"/>
        <w:numPr>
          <w:ilvl w:val="0"/>
          <w:numId w:val="16"/>
        </w:numPr>
        <w:rPr>
          <w:rFonts w:cs="Arial"/>
          <w:b/>
          <w:bCs/>
        </w:rPr>
      </w:pPr>
      <w:r w:rsidRPr="56001631">
        <w:rPr>
          <w:rFonts w:cs="Arial"/>
          <w:b/>
          <w:bCs/>
        </w:rPr>
        <w:t>Recommendation</w:t>
      </w:r>
      <w:r w:rsidR="00C45D1C" w:rsidRPr="56001631">
        <w:rPr>
          <w:rFonts w:cs="Arial"/>
          <w:b/>
          <w:bCs/>
        </w:rPr>
        <w:t xml:space="preserve"> 1:</w:t>
      </w:r>
      <w:r w:rsidR="0039485D" w:rsidRPr="56001631">
        <w:rPr>
          <w:rFonts w:cs="Arial"/>
          <w:b/>
          <w:bCs/>
        </w:rPr>
        <w:t xml:space="preserve"> </w:t>
      </w:r>
      <w:r w:rsidR="009C2A61" w:rsidRPr="56001631">
        <w:rPr>
          <w:rFonts w:cs="Arial"/>
        </w:rPr>
        <w:t xml:space="preserve">That Greater Wellington Regional Council (GWRC) make public transport free for all </w:t>
      </w:r>
      <w:r w:rsidR="00AA3825" w:rsidRPr="56001631">
        <w:rPr>
          <w:rFonts w:cs="Arial"/>
        </w:rPr>
        <w:t>under-25-year-olds</w:t>
      </w:r>
      <w:r w:rsidR="009C2A61" w:rsidRPr="56001631">
        <w:rPr>
          <w:rFonts w:cs="Arial"/>
        </w:rPr>
        <w:t>, Community Card Services card holders,</w:t>
      </w:r>
      <w:r w:rsidR="000857A4" w:rsidRPr="56001631">
        <w:rPr>
          <w:rFonts w:cs="Arial"/>
        </w:rPr>
        <w:t xml:space="preserve"> disabled people</w:t>
      </w:r>
      <w:r w:rsidR="009C2A61" w:rsidRPr="56001631">
        <w:rPr>
          <w:rFonts w:cs="Arial"/>
        </w:rPr>
        <w:t xml:space="preserve"> </w:t>
      </w:r>
      <w:r w:rsidR="00EC52DD" w:rsidRPr="56001631">
        <w:rPr>
          <w:rFonts w:cs="Arial"/>
        </w:rPr>
        <w:t>and tertiary students; and make all total mobility services free for Total Mobility</w:t>
      </w:r>
      <w:r w:rsidR="00234177" w:rsidRPr="56001631">
        <w:rPr>
          <w:rFonts w:cs="Arial"/>
        </w:rPr>
        <w:t xml:space="preserve"> card holders.</w:t>
      </w:r>
    </w:p>
    <w:p w14:paraId="7709B76F" w14:textId="7FBC2E3E" w:rsidR="00496A4F" w:rsidRPr="00BD5273" w:rsidRDefault="00496A4F" w:rsidP="56001631">
      <w:pPr>
        <w:pStyle w:val="ListParagraph"/>
        <w:numPr>
          <w:ilvl w:val="0"/>
          <w:numId w:val="16"/>
        </w:numPr>
        <w:rPr>
          <w:rFonts w:cs="Arial"/>
          <w:b/>
          <w:bCs/>
        </w:rPr>
      </w:pPr>
      <w:r w:rsidRPr="56001631">
        <w:rPr>
          <w:rFonts w:cs="Arial"/>
          <w:b/>
          <w:bCs/>
        </w:rPr>
        <w:t>Recommendation</w:t>
      </w:r>
      <w:r w:rsidR="00C45D1C" w:rsidRPr="56001631">
        <w:rPr>
          <w:rFonts w:cs="Arial"/>
          <w:b/>
          <w:bCs/>
        </w:rPr>
        <w:t xml:space="preserve"> 2:</w:t>
      </w:r>
      <w:r w:rsidR="00234177" w:rsidRPr="56001631">
        <w:rPr>
          <w:rFonts w:cs="Arial"/>
          <w:b/>
          <w:bCs/>
        </w:rPr>
        <w:t xml:space="preserve"> </w:t>
      </w:r>
      <w:r w:rsidR="000857A4" w:rsidRPr="56001631">
        <w:rPr>
          <w:rFonts w:cs="Arial"/>
        </w:rPr>
        <w:t>That GWRC support free public transport for school age children</w:t>
      </w:r>
      <w:r w:rsidR="006B74D6" w:rsidRPr="56001631">
        <w:rPr>
          <w:rFonts w:cs="Arial"/>
        </w:rPr>
        <w:t>.</w:t>
      </w:r>
    </w:p>
    <w:p w14:paraId="21D3C23F" w14:textId="458D91E3" w:rsidR="00496A4F" w:rsidRDefault="00496A4F" w:rsidP="56001631">
      <w:pPr>
        <w:pStyle w:val="ListParagraph"/>
        <w:numPr>
          <w:ilvl w:val="0"/>
          <w:numId w:val="16"/>
        </w:numPr>
        <w:rPr>
          <w:rFonts w:cs="Arial"/>
          <w:b/>
          <w:bCs/>
        </w:rPr>
      </w:pPr>
      <w:r w:rsidRPr="56001631">
        <w:rPr>
          <w:rFonts w:cs="Arial"/>
          <w:b/>
          <w:bCs/>
        </w:rPr>
        <w:t>Recommendation</w:t>
      </w:r>
      <w:r w:rsidR="0039485D" w:rsidRPr="56001631">
        <w:rPr>
          <w:rFonts w:cs="Arial"/>
          <w:b/>
          <w:bCs/>
        </w:rPr>
        <w:t xml:space="preserve"> 3: </w:t>
      </w:r>
      <w:r w:rsidR="00153CE2" w:rsidRPr="56001631">
        <w:rPr>
          <w:rFonts w:cs="Arial"/>
        </w:rPr>
        <w:t xml:space="preserve">That GWRC </w:t>
      </w:r>
      <w:r w:rsidR="00A45218" w:rsidRPr="56001631">
        <w:rPr>
          <w:rFonts w:cs="Arial"/>
        </w:rPr>
        <w:t>support moves towards making public transport universally fare free</w:t>
      </w:r>
      <w:r w:rsidR="00E65E23" w:rsidRPr="56001631">
        <w:rPr>
          <w:rFonts w:cs="Arial"/>
        </w:rPr>
        <w:t xml:space="preserve"> (including for Total Mobility)</w:t>
      </w:r>
      <w:r w:rsidR="00A45218" w:rsidRPr="56001631">
        <w:rPr>
          <w:rFonts w:cs="Arial"/>
        </w:rPr>
        <w:t xml:space="preserve"> across the country for all New Zealanders with funding for this coming from both central and local government.</w:t>
      </w:r>
    </w:p>
    <w:p w14:paraId="7BBE5FD1" w14:textId="305BBABA" w:rsidR="00BD5273" w:rsidRDefault="00BD5273" w:rsidP="00496A4F">
      <w:pPr>
        <w:pStyle w:val="ListParagraph"/>
        <w:numPr>
          <w:ilvl w:val="0"/>
          <w:numId w:val="16"/>
        </w:numPr>
        <w:rPr>
          <w:rFonts w:cs="Arial"/>
          <w:b/>
          <w:bCs/>
        </w:rPr>
      </w:pPr>
      <w:r>
        <w:rPr>
          <w:rFonts w:cs="Arial"/>
          <w:b/>
          <w:bCs/>
        </w:rPr>
        <w:t>Recommendation 4:</w:t>
      </w:r>
      <w:r w:rsidR="00A6499F">
        <w:rPr>
          <w:rFonts w:cs="Arial"/>
          <w:b/>
          <w:bCs/>
        </w:rPr>
        <w:t xml:space="preserve"> </w:t>
      </w:r>
      <w:r w:rsidR="001F18B1">
        <w:rPr>
          <w:rFonts w:cs="Arial"/>
        </w:rPr>
        <w:t xml:space="preserve">That GWRC support disability justice and climate justice trainings for all </w:t>
      </w:r>
      <w:r w:rsidR="00862309">
        <w:rPr>
          <w:rFonts w:cs="Arial"/>
        </w:rPr>
        <w:t>councillors, to ensure that their transport decisions are informed and just.</w:t>
      </w:r>
    </w:p>
    <w:p w14:paraId="4B93C600" w14:textId="77777777" w:rsidR="00F90077" w:rsidRPr="00F90077" w:rsidRDefault="00F90077" w:rsidP="003E3C38">
      <w:pPr>
        <w:rPr>
          <w:rFonts w:cs="Arial"/>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37DA" w14:textId="77777777" w:rsidR="00924243" w:rsidRDefault="00924243" w:rsidP="00634AEC">
      <w:pPr>
        <w:spacing w:after="0" w:line="240" w:lineRule="auto"/>
      </w:pPr>
      <w:r>
        <w:separator/>
      </w:r>
    </w:p>
  </w:endnote>
  <w:endnote w:type="continuationSeparator" w:id="0">
    <w:p w14:paraId="71E1225A" w14:textId="77777777" w:rsidR="00924243" w:rsidRDefault="00924243" w:rsidP="00634AEC">
      <w:pPr>
        <w:spacing w:after="0" w:line="240" w:lineRule="auto"/>
      </w:pPr>
      <w:r>
        <w:continuationSeparator/>
      </w:r>
    </w:p>
  </w:endnote>
  <w:endnote w:type="continuationNotice" w:id="1">
    <w:p w14:paraId="5D484794" w14:textId="77777777" w:rsidR="00924243" w:rsidRDefault="00924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DC7D" w14:textId="77777777" w:rsidR="00924243" w:rsidRDefault="00924243" w:rsidP="00634AEC">
      <w:pPr>
        <w:spacing w:after="0" w:line="240" w:lineRule="auto"/>
      </w:pPr>
      <w:r>
        <w:separator/>
      </w:r>
    </w:p>
  </w:footnote>
  <w:footnote w:type="continuationSeparator" w:id="0">
    <w:p w14:paraId="5FDEF2FB" w14:textId="77777777" w:rsidR="00924243" w:rsidRDefault="00924243" w:rsidP="00634AEC">
      <w:pPr>
        <w:spacing w:after="0" w:line="240" w:lineRule="auto"/>
      </w:pPr>
      <w:r>
        <w:continuationSeparator/>
      </w:r>
    </w:p>
  </w:footnote>
  <w:footnote w:type="continuationNotice" w:id="1">
    <w:p w14:paraId="6B941D5E" w14:textId="77777777" w:rsidR="00924243" w:rsidRDefault="00924243">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1545"/>
    <w:rsid w:val="00004F2E"/>
    <w:rsid w:val="00013645"/>
    <w:rsid w:val="000230E8"/>
    <w:rsid w:val="00025573"/>
    <w:rsid w:val="00036320"/>
    <w:rsid w:val="00041E14"/>
    <w:rsid w:val="000509BD"/>
    <w:rsid w:val="000533B3"/>
    <w:rsid w:val="00074EBD"/>
    <w:rsid w:val="000857A4"/>
    <w:rsid w:val="00087193"/>
    <w:rsid w:val="000A33E1"/>
    <w:rsid w:val="000B1D28"/>
    <w:rsid w:val="000C2A3A"/>
    <w:rsid w:val="00107484"/>
    <w:rsid w:val="00133092"/>
    <w:rsid w:val="001507EC"/>
    <w:rsid w:val="00151475"/>
    <w:rsid w:val="0015148C"/>
    <w:rsid w:val="00153CE2"/>
    <w:rsid w:val="001718F7"/>
    <w:rsid w:val="00183F8A"/>
    <w:rsid w:val="00193F86"/>
    <w:rsid w:val="001A3927"/>
    <w:rsid w:val="001A3EBD"/>
    <w:rsid w:val="001A63C9"/>
    <w:rsid w:val="001B51EB"/>
    <w:rsid w:val="001B734D"/>
    <w:rsid w:val="001C0434"/>
    <w:rsid w:val="001D29F1"/>
    <w:rsid w:val="001E4943"/>
    <w:rsid w:val="001E6314"/>
    <w:rsid w:val="001F18B1"/>
    <w:rsid w:val="001F5E8E"/>
    <w:rsid w:val="00213391"/>
    <w:rsid w:val="00220522"/>
    <w:rsid w:val="00234177"/>
    <w:rsid w:val="00252A79"/>
    <w:rsid w:val="00255576"/>
    <w:rsid w:val="002557AB"/>
    <w:rsid w:val="00257C30"/>
    <w:rsid w:val="002620B5"/>
    <w:rsid w:val="00262298"/>
    <w:rsid w:val="00267961"/>
    <w:rsid w:val="002B3285"/>
    <w:rsid w:val="002C0869"/>
    <w:rsid w:val="002C2E13"/>
    <w:rsid w:val="002E0071"/>
    <w:rsid w:val="00362696"/>
    <w:rsid w:val="00376117"/>
    <w:rsid w:val="003802E0"/>
    <w:rsid w:val="0039004F"/>
    <w:rsid w:val="0039485D"/>
    <w:rsid w:val="003B0C58"/>
    <w:rsid w:val="003B154D"/>
    <w:rsid w:val="003B3DF5"/>
    <w:rsid w:val="003B57A0"/>
    <w:rsid w:val="003B652B"/>
    <w:rsid w:val="003E3C38"/>
    <w:rsid w:val="003F2334"/>
    <w:rsid w:val="003F6786"/>
    <w:rsid w:val="00406C3E"/>
    <w:rsid w:val="0041076C"/>
    <w:rsid w:val="00412627"/>
    <w:rsid w:val="00422A0D"/>
    <w:rsid w:val="004231CF"/>
    <w:rsid w:val="00423284"/>
    <w:rsid w:val="004600A7"/>
    <w:rsid w:val="00495DC8"/>
    <w:rsid w:val="00496A4F"/>
    <w:rsid w:val="004A0B5F"/>
    <w:rsid w:val="004A4BC7"/>
    <w:rsid w:val="004C1CE8"/>
    <w:rsid w:val="004D53A5"/>
    <w:rsid w:val="005174CE"/>
    <w:rsid w:val="005244AE"/>
    <w:rsid w:val="005255B7"/>
    <w:rsid w:val="00534749"/>
    <w:rsid w:val="00534DE8"/>
    <w:rsid w:val="00547874"/>
    <w:rsid w:val="005546CE"/>
    <w:rsid w:val="00562E74"/>
    <w:rsid w:val="0056782C"/>
    <w:rsid w:val="00586EE7"/>
    <w:rsid w:val="0058785B"/>
    <w:rsid w:val="00587C7D"/>
    <w:rsid w:val="005A7550"/>
    <w:rsid w:val="005C2088"/>
    <w:rsid w:val="005C4FD4"/>
    <w:rsid w:val="005F5D4D"/>
    <w:rsid w:val="00612023"/>
    <w:rsid w:val="00617B71"/>
    <w:rsid w:val="00626DE9"/>
    <w:rsid w:val="00634AEC"/>
    <w:rsid w:val="00643489"/>
    <w:rsid w:val="0065604C"/>
    <w:rsid w:val="00670B18"/>
    <w:rsid w:val="006B5018"/>
    <w:rsid w:val="006B74D6"/>
    <w:rsid w:val="006D416F"/>
    <w:rsid w:val="006E413E"/>
    <w:rsid w:val="00700885"/>
    <w:rsid w:val="00723FEC"/>
    <w:rsid w:val="007247B9"/>
    <w:rsid w:val="00771A3C"/>
    <w:rsid w:val="00775532"/>
    <w:rsid w:val="007800D4"/>
    <w:rsid w:val="007A5D60"/>
    <w:rsid w:val="007B4A88"/>
    <w:rsid w:val="007C55AE"/>
    <w:rsid w:val="007C6803"/>
    <w:rsid w:val="007F630A"/>
    <w:rsid w:val="007F690A"/>
    <w:rsid w:val="00832EF2"/>
    <w:rsid w:val="00834B70"/>
    <w:rsid w:val="008443CB"/>
    <w:rsid w:val="00851ABD"/>
    <w:rsid w:val="00862309"/>
    <w:rsid w:val="00891278"/>
    <w:rsid w:val="008C3BEF"/>
    <w:rsid w:val="008C3DE8"/>
    <w:rsid w:val="008E27E2"/>
    <w:rsid w:val="008E541D"/>
    <w:rsid w:val="00902171"/>
    <w:rsid w:val="009140EA"/>
    <w:rsid w:val="00921D00"/>
    <w:rsid w:val="00924243"/>
    <w:rsid w:val="009514A6"/>
    <w:rsid w:val="00953608"/>
    <w:rsid w:val="00967093"/>
    <w:rsid w:val="00980ACE"/>
    <w:rsid w:val="0098203B"/>
    <w:rsid w:val="009923BC"/>
    <w:rsid w:val="009B6EE7"/>
    <w:rsid w:val="009C25EE"/>
    <w:rsid w:val="009C2A61"/>
    <w:rsid w:val="009F43CD"/>
    <w:rsid w:val="00A12510"/>
    <w:rsid w:val="00A2709C"/>
    <w:rsid w:val="00A272AB"/>
    <w:rsid w:val="00A378EA"/>
    <w:rsid w:val="00A4419D"/>
    <w:rsid w:val="00A45218"/>
    <w:rsid w:val="00A518F2"/>
    <w:rsid w:val="00A558AC"/>
    <w:rsid w:val="00A56F67"/>
    <w:rsid w:val="00A571FD"/>
    <w:rsid w:val="00A6499F"/>
    <w:rsid w:val="00A67D69"/>
    <w:rsid w:val="00A76CE2"/>
    <w:rsid w:val="00A77DD5"/>
    <w:rsid w:val="00A85B4B"/>
    <w:rsid w:val="00AA01C3"/>
    <w:rsid w:val="00AA3825"/>
    <w:rsid w:val="00AA7CBB"/>
    <w:rsid w:val="00AB0DBD"/>
    <w:rsid w:val="00B00392"/>
    <w:rsid w:val="00B7383C"/>
    <w:rsid w:val="00B819EB"/>
    <w:rsid w:val="00B9746B"/>
    <w:rsid w:val="00BD5273"/>
    <w:rsid w:val="00BF7175"/>
    <w:rsid w:val="00C23CCD"/>
    <w:rsid w:val="00C3131E"/>
    <w:rsid w:val="00C4356B"/>
    <w:rsid w:val="00C45D1C"/>
    <w:rsid w:val="00C473F0"/>
    <w:rsid w:val="00C5373A"/>
    <w:rsid w:val="00C65BE9"/>
    <w:rsid w:val="00C92B04"/>
    <w:rsid w:val="00CD1230"/>
    <w:rsid w:val="00CD4578"/>
    <w:rsid w:val="00D0678F"/>
    <w:rsid w:val="00D11BCC"/>
    <w:rsid w:val="00D16865"/>
    <w:rsid w:val="00D2076D"/>
    <w:rsid w:val="00D230E4"/>
    <w:rsid w:val="00D26396"/>
    <w:rsid w:val="00D451C5"/>
    <w:rsid w:val="00D6214D"/>
    <w:rsid w:val="00D977D8"/>
    <w:rsid w:val="00DA64C3"/>
    <w:rsid w:val="00DC5D37"/>
    <w:rsid w:val="00DD7428"/>
    <w:rsid w:val="00E00291"/>
    <w:rsid w:val="00E01BE4"/>
    <w:rsid w:val="00E0554B"/>
    <w:rsid w:val="00E13065"/>
    <w:rsid w:val="00E21360"/>
    <w:rsid w:val="00E25475"/>
    <w:rsid w:val="00E47BC9"/>
    <w:rsid w:val="00E53192"/>
    <w:rsid w:val="00E5783A"/>
    <w:rsid w:val="00E65567"/>
    <w:rsid w:val="00E65E23"/>
    <w:rsid w:val="00E70E28"/>
    <w:rsid w:val="00E74B15"/>
    <w:rsid w:val="00E804C8"/>
    <w:rsid w:val="00E9298B"/>
    <w:rsid w:val="00E9352A"/>
    <w:rsid w:val="00EA3BA5"/>
    <w:rsid w:val="00EA7AD5"/>
    <w:rsid w:val="00EB17E7"/>
    <w:rsid w:val="00EC1424"/>
    <w:rsid w:val="00EC52DD"/>
    <w:rsid w:val="00EC6AD9"/>
    <w:rsid w:val="00EC7407"/>
    <w:rsid w:val="00EE1E27"/>
    <w:rsid w:val="00EE2B63"/>
    <w:rsid w:val="00EE74AF"/>
    <w:rsid w:val="00EF265E"/>
    <w:rsid w:val="00EF2AA3"/>
    <w:rsid w:val="00EF44E1"/>
    <w:rsid w:val="00F03220"/>
    <w:rsid w:val="00F228DC"/>
    <w:rsid w:val="00F252DE"/>
    <w:rsid w:val="00F52AEC"/>
    <w:rsid w:val="00F53423"/>
    <w:rsid w:val="00F617B4"/>
    <w:rsid w:val="00F76BF7"/>
    <w:rsid w:val="00F90077"/>
    <w:rsid w:val="00F90886"/>
    <w:rsid w:val="00F92A5E"/>
    <w:rsid w:val="00F93473"/>
    <w:rsid w:val="00FA1FCA"/>
    <w:rsid w:val="00FA5026"/>
    <w:rsid w:val="00FB0375"/>
    <w:rsid w:val="02BF7A24"/>
    <w:rsid w:val="08150FB8"/>
    <w:rsid w:val="08DFE516"/>
    <w:rsid w:val="0A7BB577"/>
    <w:rsid w:val="0BED68D5"/>
    <w:rsid w:val="0D5A1F5D"/>
    <w:rsid w:val="0DB35639"/>
    <w:rsid w:val="100AB627"/>
    <w:rsid w:val="1336C250"/>
    <w:rsid w:val="137D0EA4"/>
    <w:rsid w:val="16152C36"/>
    <w:rsid w:val="1AD9B0AF"/>
    <w:rsid w:val="1E6BE133"/>
    <w:rsid w:val="2AB64385"/>
    <w:rsid w:val="2B5251C1"/>
    <w:rsid w:val="2E5214DD"/>
    <w:rsid w:val="30AC6835"/>
    <w:rsid w:val="35F8F106"/>
    <w:rsid w:val="370D21B6"/>
    <w:rsid w:val="39402CC5"/>
    <w:rsid w:val="3B68758B"/>
    <w:rsid w:val="405AF1B7"/>
    <w:rsid w:val="50790307"/>
    <w:rsid w:val="50FD1D05"/>
    <w:rsid w:val="514551FD"/>
    <w:rsid w:val="5214D368"/>
    <w:rsid w:val="52C8756F"/>
    <w:rsid w:val="53B0A3C9"/>
    <w:rsid w:val="555808C3"/>
    <w:rsid w:val="557B9CBB"/>
    <w:rsid w:val="55AF52B2"/>
    <w:rsid w:val="55ED78BC"/>
    <w:rsid w:val="56001631"/>
    <w:rsid w:val="588FA985"/>
    <w:rsid w:val="5D57860F"/>
    <w:rsid w:val="5EE5C2AC"/>
    <w:rsid w:val="6027034B"/>
    <w:rsid w:val="62CD5E62"/>
    <w:rsid w:val="6915437C"/>
    <w:rsid w:val="6CC4E900"/>
    <w:rsid w:val="732AF305"/>
    <w:rsid w:val="73843A87"/>
    <w:rsid w:val="73F2DA28"/>
    <w:rsid w:val="772A7AEA"/>
    <w:rsid w:val="77662FD0"/>
    <w:rsid w:val="78C64B4B"/>
    <w:rsid w:val="7BE25704"/>
    <w:rsid w:val="7D499D5A"/>
    <w:rsid w:val="7D7E27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6B85E477-40A5-4064-83C1-7B9CB48F0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2023-10-06T04:35:00Z</dcterms:created>
  <dcterms:modified xsi:type="dcterms:W3CDTF">2023-10-06T04:35:00Z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