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434445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7F56023E" w:rsidR="00FA5DE7" w:rsidRPr="00FA5DE7" w:rsidRDefault="00022E71" w:rsidP="003A2E54">
      <w:pPr>
        <w:spacing w:line="360" w:lineRule="auto"/>
        <w:rPr>
          <w:szCs w:val="24"/>
        </w:rPr>
      </w:pPr>
      <w:r>
        <w:rPr>
          <w:szCs w:val="24"/>
        </w:rPr>
        <w:t>July</w:t>
      </w:r>
      <w:r w:rsidR="00EF72A7"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3F57D24A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022E71">
        <w:rPr>
          <w:szCs w:val="24"/>
        </w:rPr>
        <w:t>Hamilton City Council</w:t>
      </w:r>
    </w:p>
    <w:p w14:paraId="41E6D60F" w14:textId="374F12C2" w:rsidR="00FA5DE7" w:rsidRPr="00FA5DE7" w:rsidRDefault="00FA5DE7" w:rsidP="003A2E54">
      <w:pPr>
        <w:spacing w:line="360" w:lineRule="auto"/>
      </w:pPr>
      <w:r w:rsidRPr="00FA5DE7">
        <w:t>Please find attached DPA’s submis</w:t>
      </w:r>
      <w:r w:rsidR="00350BA4">
        <w:t>sion on</w:t>
      </w:r>
      <w:r w:rsidR="00BD288F">
        <w:t xml:space="preserve"> Draft Speed Management Plan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30E5367A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2E13F3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A3EEAF4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United Nations Convention on the Rights of Persons with Disabilities </w:t>
      </w:r>
    </w:p>
    <w:p w14:paraId="2AC84DF3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DPA was influential in creating the United Nations Convention on the Rights of Persons with Disabilities (UNCRPD),</w:t>
      </w:r>
      <w:r w:rsidRPr="00404814">
        <w:rPr>
          <w:rFonts w:eastAsia="Times New Roman" w:cs="Arial"/>
          <w:szCs w:val="24"/>
          <w:vertAlign w:val="superscript"/>
          <w:lang w:eastAsia="en-NZ"/>
        </w:rPr>
        <w:t>1</w:t>
      </w:r>
      <w:r w:rsidRPr="00404814">
        <w:rPr>
          <w:rFonts w:eastAsia="Times New Roman" w:cs="Arial"/>
          <w:szCs w:val="24"/>
          <w:lang w:eastAsia="en-NZ"/>
        </w:rPr>
        <w:t xml:space="preserve"> a foundational document for disabled people which New Zealand has signed and ratified, confirming that disabled people must </w:t>
      </w:r>
      <w:r w:rsidRPr="00404814">
        <w:rPr>
          <w:rFonts w:eastAsia="Times New Roman" w:cs="Arial"/>
          <w:szCs w:val="24"/>
          <w:lang w:eastAsia="en-NZ"/>
        </w:rPr>
        <w:lastRenderedPageBreak/>
        <w:t xml:space="preserve">have the same human rights as everyone else. All state bodies in New Zealand, including local and regional government, have a responsibility to uphold the principles and articles of this convention.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UNCRPD articles particularly relevant to this submission, including: </w:t>
      </w:r>
    </w:p>
    <w:p w14:paraId="24B739EB" w14:textId="77777777" w:rsidR="00C1174E" w:rsidRPr="00FA2BDF" w:rsidRDefault="00C1174E" w:rsidP="00C1174E">
      <w:pPr>
        <w:numPr>
          <w:ilvl w:val="0"/>
          <w:numId w:val="33"/>
        </w:numPr>
        <w:spacing w:after="0" w:line="360" w:lineRule="auto"/>
        <w:ind w:left="1575" w:firstLine="0"/>
        <w:textAlignment w:val="baseline"/>
        <w:rPr>
          <w:rFonts w:eastAsia="Times New Roman" w:cs="Arial"/>
          <w:szCs w:val="24"/>
          <w:lang w:eastAsia="en-NZ"/>
        </w:rPr>
      </w:pPr>
      <w:r w:rsidRPr="00FA2BDF">
        <w:rPr>
          <w:rFonts w:eastAsia="Times New Roman" w:cs="Arial"/>
          <w:b/>
          <w:bCs/>
          <w:color w:val="000000"/>
          <w:szCs w:val="24"/>
          <w:lang w:eastAsia="en-NZ"/>
        </w:rPr>
        <w:t>Article 3 - General principles</w:t>
      </w:r>
      <w:r w:rsidRPr="00FA2BDF">
        <w:rPr>
          <w:rFonts w:eastAsia="Times New Roman" w:cs="Arial"/>
          <w:color w:val="000000"/>
          <w:szCs w:val="24"/>
          <w:lang w:eastAsia="en-NZ"/>
        </w:rPr>
        <w:t> </w:t>
      </w:r>
    </w:p>
    <w:p w14:paraId="2435AB63" w14:textId="77777777" w:rsidR="00C1174E" w:rsidRPr="00FA2BDF" w:rsidRDefault="00C1174E" w:rsidP="00C1174E">
      <w:pPr>
        <w:numPr>
          <w:ilvl w:val="0"/>
          <w:numId w:val="33"/>
        </w:numPr>
        <w:spacing w:after="0" w:line="360" w:lineRule="auto"/>
        <w:ind w:left="1575" w:firstLine="0"/>
        <w:textAlignment w:val="baseline"/>
        <w:rPr>
          <w:rFonts w:eastAsia="Times New Roman" w:cs="Arial"/>
          <w:szCs w:val="24"/>
          <w:lang w:eastAsia="en-NZ"/>
        </w:rPr>
      </w:pPr>
      <w:r w:rsidRPr="00FA2BDF">
        <w:rPr>
          <w:rFonts w:eastAsia="Times New Roman" w:cs="Arial"/>
          <w:b/>
          <w:bCs/>
          <w:color w:val="000000"/>
          <w:szCs w:val="24"/>
          <w:lang w:eastAsia="en-NZ"/>
        </w:rPr>
        <w:t>Article 9 - Accessibility </w:t>
      </w:r>
      <w:r w:rsidRPr="00FA2BDF">
        <w:rPr>
          <w:rFonts w:eastAsia="Times New Roman" w:cs="Arial"/>
          <w:color w:val="000000"/>
          <w:szCs w:val="24"/>
          <w:lang w:eastAsia="en-NZ"/>
        </w:rPr>
        <w:t> </w:t>
      </w:r>
    </w:p>
    <w:p w14:paraId="39FCC597" w14:textId="77777777" w:rsidR="00C1174E" w:rsidRPr="00FA2BDF" w:rsidRDefault="00C1174E" w:rsidP="00C1174E">
      <w:pPr>
        <w:numPr>
          <w:ilvl w:val="0"/>
          <w:numId w:val="33"/>
        </w:numPr>
        <w:spacing w:after="0" w:line="360" w:lineRule="auto"/>
        <w:ind w:left="1575" w:firstLine="0"/>
        <w:textAlignment w:val="baseline"/>
        <w:rPr>
          <w:rFonts w:eastAsia="Times New Roman" w:cs="Arial"/>
          <w:szCs w:val="24"/>
          <w:lang w:eastAsia="en-NZ"/>
        </w:rPr>
      </w:pPr>
      <w:r w:rsidRPr="00FA2BDF">
        <w:rPr>
          <w:rFonts w:eastAsia="Times New Roman" w:cs="Arial"/>
          <w:b/>
          <w:bCs/>
          <w:color w:val="000000"/>
          <w:szCs w:val="24"/>
          <w:lang w:eastAsia="en-NZ"/>
        </w:rPr>
        <w:t xml:space="preserve">Article 19 - Living independently and being included in the </w:t>
      </w:r>
      <w:proofErr w:type="gramStart"/>
      <w:r w:rsidRPr="00FA2BDF">
        <w:rPr>
          <w:rFonts w:eastAsia="Times New Roman" w:cs="Arial"/>
          <w:b/>
          <w:bCs/>
          <w:color w:val="000000"/>
          <w:szCs w:val="24"/>
          <w:lang w:eastAsia="en-NZ"/>
        </w:rPr>
        <w:t>community</w:t>
      </w:r>
      <w:proofErr w:type="gramEnd"/>
      <w:r w:rsidRPr="00FA2BDF">
        <w:rPr>
          <w:rFonts w:eastAsia="Times New Roman" w:cs="Arial"/>
          <w:color w:val="000000"/>
          <w:szCs w:val="24"/>
          <w:lang w:eastAsia="en-NZ"/>
        </w:rPr>
        <w:t>  </w:t>
      </w:r>
    </w:p>
    <w:p w14:paraId="3134F66B" w14:textId="77777777" w:rsidR="00C1174E" w:rsidRPr="00FA2BDF" w:rsidRDefault="00C1174E" w:rsidP="00C1174E">
      <w:pPr>
        <w:numPr>
          <w:ilvl w:val="0"/>
          <w:numId w:val="33"/>
        </w:numPr>
        <w:spacing w:after="0" w:line="360" w:lineRule="auto"/>
        <w:ind w:left="1575" w:firstLine="0"/>
        <w:textAlignment w:val="baseline"/>
        <w:rPr>
          <w:rFonts w:eastAsia="Times New Roman" w:cs="Arial"/>
          <w:szCs w:val="24"/>
          <w:lang w:eastAsia="en-NZ"/>
        </w:rPr>
      </w:pPr>
      <w:r w:rsidRPr="00FA2BDF">
        <w:rPr>
          <w:rFonts w:eastAsia="Times New Roman" w:cs="Arial"/>
          <w:b/>
          <w:bCs/>
          <w:color w:val="000000"/>
          <w:szCs w:val="24"/>
          <w:lang w:eastAsia="en-NZ"/>
        </w:rPr>
        <w:t>Article 20 - Personal mobility</w:t>
      </w:r>
      <w:r w:rsidRPr="00FA2BDF">
        <w:rPr>
          <w:rFonts w:eastAsia="Times New Roman" w:cs="Arial"/>
          <w:color w:val="000000"/>
          <w:szCs w:val="24"/>
          <w:lang w:eastAsia="en-NZ"/>
        </w:rPr>
        <w:t>  </w:t>
      </w:r>
    </w:p>
    <w:p w14:paraId="6163210E" w14:textId="0EC7DEB3" w:rsidR="00404814" w:rsidRPr="00404814" w:rsidRDefault="00404814" w:rsidP="00C1174E">
      <w:pPr>
        <w:spacing w:after="0" w:line="360" w:lineRule="auto"/>
        <w:ind w:left="1080"/>
        <w:textAlignment w:val="baseline"/>
        <w:rPr>
          <w:rFonts w:eastAsia="Times New Roman" w:cs="Arial"/>
          <w:szCs w:val="24"/>
          <w:lang w:eastAsia="en-NZ"/>
        </w:rPr>
      </w:pPr>
    </w:p>
    <w:p w14:paraId="6E3EC756" w14:textId="77777777" w:rsidR="00404814" w:rsidRPr="00404814" w:rsidRDefault="00404814" w:rsidP="00C1174E">
      <w:pPr>
        <w:spacing w:after="0" w:line="360" w:lineRule="auto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New Zealand Disability Strategy 2016-2026 </w:t>
      </w:r>
    </w:p>
    <w:p w14:paraId="433F63F9" w14:textId="7694BAD0" w:rsidR="00C1174E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Since ratifying the UNCRPD, the New Zealand Government has established a Disability Strategy</w:t>
      </w:r>
      <w:r w:rsidRPr="00404814">
        <w:rPr>
          <w:rFonts w:eastAsia="Times New Roman" w:cs="Arial"/>
          <w:szCs w:val="24"/>
          <w:vertAlign w:val="superscript"/>
          <w:lang w:eastAsia="en-NZ"/>
        </w:rPr>
        <w:t>2</w:t>
      </w:r>
      <w:r w:rsidRPr="00404814">
        <w:rPr>
          <w:rFonts w:eastAsia="Times New Roman" w:cs="Arial"/>
          <w:szCs w:val="24"/>
          <w:lang w:eastAsia="en-NZ"/>
        </w:rPr>
        <w:t xml:space="preserve">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 w:rsidRPr="00404814">
        <w:rPr>
          <w:rFonts w:eastAsia="Times New Roman" w:cs="Arial"/>
          <w:szCs w:val="24"/>
          <w:lang w:eastAsia="en-NZ"/>
        </w:rPr>
        <w:t>all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New Zealand works together to make this happen. It identifies eight outcome areas contributing to achieving this vision.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Strategy outcomes particularly relevant to this submission, including: </w:t>
      </w:r>
    </w:p>
    <w:p w14:paraId="64F32C12" w14:textId="6F3AB8E3" w:rsidR="00C1174E" w:rsidRPr="00110F71" w:rsidRDefault="00110F71" w:rsidP="00110F71">
      <w:pPr>
        <w:pStyle w:val="ListParagraph"/>
        <w:numPr>
          <w:ilvl w:val="0"/>
          <w:numId w:val="34"/>
        </w:numPr>
        <w:spacing w:after="0" w:line="360" w:lineRule="auto"/>
        <w:ind w:firstLine="556"/>
        <w:textAlignment w:val="baseline"/>
        <w:rPr>
          <w:rFonts w:eastAsia="Times New Roman" w:cs="Arial"/>
          <w:szCs w:val="24"/>
          <w:lang w:eastAsia="en-NZ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   </w:t>
      </w:r>
      <w:r w:rsidR="00E91511" w:rsidRPr="00110F71">
        <w:rPr>
          <w:rStyle w:val="normaltextrun"/>
          <w:rFonts w:cs="Arial"/>
          <w:b/>
          <w:bCs/>
          <w:color w:val="000000"/>
          <w:shd w:val="clear" w:color="auto" w:fill="FFFFFF"/>
        </w:rPr>
        <w:t>Outcome 5 – Accessibility</w:t>
      </w:r>
      <w:r w:rsidR="00E91511" w:rsidRPr="00110F71">
        <w:rPr>
          <w:rStyle w:val="normaltextrun"/>
          <w:rFonts w:cs="Arial"/>
          <w:color w:val="000000"/>
          <w:shd w:val="clear" w:color="auto" w:fill="FFFFFF"/>
        </w:rPr>
        <w:t> </w:t>
      </w:r>
      <w:r w:rsidR="00E91511" w:rsidRPr="00110F71">
        <w:rPr>
          <w:rStyle w:val="eop"/>
          <w:rFonts w:cs="Arial"/>
          <w:color w:val="000000"/>
          <w:shd w:val="clear" w:color="auto" w:fill="FFFFFF"/>
        </w:rPr>
        <w:t> </w:t>
      </w:r>
    </w:p>
    <w:p w14:paraId="294201A2" w14:textId="70E6A138" w:rsidR="00404814" w:rsidRPr="00404814" w:rsidRDefault="00404814" w:rsidP="00FA2BDF">
      <w:pPr>
        <w:spacing w:after="0" w:line="360" w:lineRule="auto"/>
        <w:ind w:left="1080"/>
        <w:textAlignment w:val="baseline"/>
        <w:rPr>
          <w:rFonts w:eastAsia="Times New Roman" w:cs="Arial"/>
          <w:szCs w:val="24"/>
          <w:lang w:eastAsia="en-NZ"/>
        </w:rPr>
      </w:pP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00EF72A7">
        <w:rPr>
          <w:sz w:val="32"/>
        </w:rPr>
        <w:t>The Submission</w:t>
      </w:r>
    </w:p>
    <w:p w14:paraId="4F483D96" w14:textId="77777777" w:rsidR="005F7338" w:rsidRPr="00630008" w:rsidRDefault="00B8087E" w:rsidP="005F7338">
      <w:pPr>
        <w:rPr>
          <w:b/>
          <w:bCs/>
          <w:color w:val="1F3864" w:themeColor="accent5" w:themeShade="80"/>
          <w:sz w:val="28"/>
          <w:szCs w:val="28"/>
        </w:rPr>
      </w:pPr>
      <w:r w:rsidRPr="00630008">
        <w:rPr>
          <w:b/>
          <w:bCs/>
          <w:color w:val="1F3864" w:themeColor="accent5" w:themeShade="80"/>
          <w:sz w:val="28"/>
          <w:szCs w:val="28"/>
        </w:rPr>
        <w:t>Background</w:t>
      </w:r>
    </w:p>
    <w:p w14:paraId="61DC298D" w14:textId="7E6DA462" w:rsidR="00832012" w:rsidRPr="005F7338" w:rsidRDefault="00C34C0F" w:rsidP="005F7338">
      <w:pPr>
        <w:spacing w:line="360" w:lineRule="auto"/>
        <w:rPr>
          <w:b/>
          <w:bCs/>
          <w:color w:val="1F3864" w:themeColor="accent5" w:themeShade="80"/>
        </w:rPr>
      </w:pPr>
      <w:r>
        <w:t xml:space="preserve">DPA welcomes this opportunity to engage on </w:t>
      </w:r>
      <w:r w:rsidR="00A53406">
        <w:t>the Draft Speed Management Plan proposed by the Hamilton City Council.</w:t>
      </w:r>
    </w:p>
    <w:p w14:paraId="723F8B6A" w14:textId="4D0019DF" w:rsidR="00B94102" w:rsidRDefault="00B94102" w:rsidP="00B94102">
      <w:pPr>
        <w:spacing w:line="360" w:lineRule="auto"/>
      </w:pPr>
      <w:r>
        <w:t xml:space="preserve">DPA notes that this management plan is being drawn up to reflect </w:t>
      </w:r>
      <w:r w:rsidR="00516BE8">
        <w:t xml:space="preserve">various central government transport </w:t>
      </w:r>
      <w:r w:rsidR="0067361D">
        <w:t xml:space="preserve">frameworks </w:t>
      </w:r>
      <w:r w:rsidR="00516BE8">
        <w:t xml:space="preserve">including the Government Policy Statement </w:t>
      </w:r>
      <w:r w:rsidR="004739CC">
        <w:t xml:space="preserve">on Land Transport, </w:t>
      </w:r>
      <w:r w:rsidR="0067361D">
        <w:t>and Road to Zero Strategy.</w:t>
      </w:r>
    </w:p>
    <w:p w14:paraId="0A713148" w14:textId="27219C6C" w:rsidR="0067361D" w:rsidRDefault="0067361D" w:rsidP="00B94102">
      <w:pPr>
        <w:spacing w:line="360" w:lineRule="auto"/>
      </w:pPr>
      <w:r>
        <w:t xml:space="preserve">DPA welcomed the introduction of the Road to Zero Strategy at the time it was introduced in </w:t>
      </w:r>
      <w:r w:rsidR="0055459C">
        <w:t xml:space="preserve">2019 by endorsing its target for a 40% reduction </w:t>
      </w:r>
      <w:r w:rsidR="00336C26">
        <w:t xml:space="preserve">in our road toll by 2030 and </w:t>
      </w:r>
      <w:r w:rsidR="00A07BBE">
        <w:t xml:space="preserve">we recommended </w:t>
      </w:r>
      <w:r w:rsidR="00336C26">
        <w:t xml:space="preserve">that the targets endorsed within the plan should also extend to </w:t>
      </w:r>
      <w:r w:rsidR="00C8438B">
        <w:t>pedestrians</w:t>
      </w:r>
      <w:r w:rsidR="00336C26">
        <w:t>.</w:t>
      </w:r>
    </w:p>
    <w:p w14:paraId="787717AC" w14:textId="77777777" w:rsidR="00490E27" w:rsidRDefault="004339B2" w:rsidP="00B94102">
      <w:pPr>
        <w:spacing w:line="360" w:lineRule="auto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lastRenderedPageBreak/>
        <w:t xml:space="preserve">DPA </w:t>
      </w:r>
      <w:r w:rsidR="00DE522E">
        <w:rPr>
          <w:rStyle w:val="normaltextrun"/>
          <w:rFonts w:cs="Arial"/>
          <w:color w:val="000000"/>
          <w:shd w:val="clear" w:color="auto" w:fill="FFFFFF"/>
        </w:rPr>
        <w:t>recognises</w:t>
      </w:r>
      <w:r>
        <w:rPr>
          <w:rStyle w:val="normaltextrun"/>
          <w:rFonts w:cs="Arial"/>
          <w:color w:val="000000"/>
          <w:shd w:val="clear" w:color="auto" w:fill="FFFFFF"/>
        </w:rPr>
        <w:t xml:space="preserve"> that the Ministry of Transport has committed to work</w:t>
      </w:r>
      <w:r w:rsidR="009B597A">
        <w:rPr>
          <w:rStyle w:val="normaltextrun"/>
          <w:rFonts w:cs="Arial"/>
          <w:color w:val="000000"/>
          <w:shd w:val="clear" w:color="auto" w:fill="FFFFFF"/>
        </w:rPr>
        <w:t>ing</w:t>
      </w:r>
      <w:r>
        <w:rPr>
          <w:rStyle w:val="normaltextrun"/>
          <w:rFonts w:cs="Arial"/>
          <w:color w:val="000000"/>
          <w:shd w:val="clear" w:color="auto" w:fill="FFFFFF"/>
        </w:rPr>
        <w:t xml:space="preserve"> on the NZ Disability Action Plan, Action 5 – Accessibility transport stock take outcomes</w:t>
      </w:r>
      <w:r w:rsidR="00A07BBE">
        <w:rPr>
          <w:rStyle w:val="normaltextrun"/>
          <w:rFonts w:cs="Arial"/>
          <w:color w:val="000000"/>
          <w:shd w:val="clear" w:color="auto" w:fill="FFFFFF"/>
        </w:rPr>
        <w:t xml:space="preserve"> as well</w:t>
      </w:r>
      <w:r>
        <w:rPr>
          <w:rStyle w:val="normaltextrun"/>
          <w:rFonts w:cs="Arial"/>
          <w:color w:val="000000"/>
          <w:shd w:val="clear" w:color="auto" w:fill="FFFFFF"/>
        </w:rPr>
        <w:t>.</w:t>
      </w:r>
      <w:r>
        <w:rPr>
          <w:rStyle w:val="normaltextrun"/>
          <w:rFonts w:cs="Arial"/>
          <w:color w:val="000000"/>
          <w:sz w:val="19"/>
          <w:szCs w:val="19"/>
          <w:shd w:val="clear" w:color="auto" w:fill="FFFFFF"/>
          <w:vertAlign w:val="superscript"/>
        </w:rPr>
        <w:t xml:space="preserve"> </w:t>
      </w:r>
      <w:r w:rsidR="00CC7309">
        <w:rPr>
          <w:rStyle w:val="FootnoteReference"/>
          <w:rFonts w:cs="Arial"/>
          <w:color w:val="000000"/>
          <w:sz w:val="19"/>
          <w:szCs w:val="19"/>
          <w:shd w:val="clear" w:color="auto" w:fill="FFFFFF"/>
        </w:rPr>
        <w:footnoteReference w:id="2"/>
      </w:r>
      <w:r>
        <w:rPr>
          <w:rStyle w:val="normaltextrun"/>
          <w:rFonts w:cs="Arial"/>
          <w:color w:val="000000"/>
          <w:shd w:val="clear" w:color="auto" w:fill="FFFFFF"/>
        </w:rPr>
        <w:t xml:space="preserve"> These include specific measures to enhance and improve transport signage and safety provisions as well as accessibility for disabled pedestrians.</w:t>
      </w:r>
    </w:p>
    <w:p w14:paraId="5EE4AF74" w14:textId="6BB9E56F" w:rsidR="004339B2" w:rsidRDefault="00490E27" w:rsidP="00B94102">
      <w:pPr>
        <w:spacing w:line="360" w:lineRule="auto"/>
        <w:rPr>
          <w:rStyle w:val="eop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DPA recognises and supports the </w:t>
      </w:r>
      <w:r w:rsidR="00346926">
        <w:rPr>
          <w:rStyle w:val="normaltextrun"/>
          <w:rFonts w:cs="Arial"/>
          <w:color w:val="000000"/>
          <w:shd w:val="clear" w:color="auto" w:fill="FFFFFF"/>
        </w:rPr>
        <w:t xml:space="preserve">Council’s transport strategy, </w:t>
      </w:r>
      <w:r w:rsidR="00346926" w:rsidRPr="00602882">
        <w:rPr>
          <w:rStyle w:val="normaltextrun"/>
          <w:rFonts w:cs="Arial"/>
          <w:color w:val="000000"/>
          <w:shd w:val="clear" w:color="auto" w:fill="FFFFFF"/>
        </w:rPr>
        <w:t xml:space="preserve">Access Hamilton – Aru </w:t>
      </w:r>
      <w:proofErr w:type="spellStart"/>
      <w:r w:rsidR="00633C10" w:rsidRPr="00602882">
        <w:rPr>
          <w:rStyle w:val="normaltextrun"/>
          <w:rFonts w:cs="Arial"/>
          <w:color w:val="000000"/>
          <w:shd w:val="clear" w:color="auto" w:fill="FFFFFF"/>
        </w:rPr>
        <w:t>Kootuitui</w:t>
      </w:r>
      <w:proofErr w:type="spellEnd"/>
      <w:r w:rsidR="00633C10" w:rsidRPr="00602882"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 w:rsidR="00633C10" w:rsidRPr="00602882">
        <w:rPr>
          <w:rStyle w:val="normaltextrun"/>
          <w:rFonts w:cs="Arial"/>
          <w:color w:val="000000"/>
          <w:shd w:val="clear" w:color="auto" w:fill="FFFFFF"/>
        </w:rPr>
        <w:t>Kirikiriroa</w:t>
      </w:r>
      <w:proofErr w:type="spellEnd"/>
      <w:r w:rsidR="00633C10" w:rsidRPr="00602882">
        <w:rPr>
          <w:rStyle w:val="normaltextrun"/>
          <w:rFonts w:cs="Arial"/>
          <w:color w:val="000000"/>
          <w:shd w:val="clear" w:color="auto" w:fill="FFFFFF"/>
        </w:rPr>
        <w:t>,</w:t>
      </w:r>
      <w:r w:rsidR="00633C10">
        <w:rPr>
          <w:rStyle w:val="normaltextrun"/>
          <w:rFonts w:cs="Arial"/>
          <w:color w:val="000000"/>
          <w:shd w:val="clear" w:color="auto" w:fill="FFFFFF"/>
        </w:rPr>
        <w:t xml:space="preserve"> which </w:t>
      </w:r>
      <w:r w:rsidR="003C0901">
        <w:rPr>
          <w:rStyle w:val="normaltextrun"/>
          <w:rFonts w:cs="Arial"/>
          <w:color w:val="000000"/>
          <w:shd w:val="clear" w:color="auto" w:fill="FFFFFF"/>
        </w:rPr>
        <w:t>emphasises inclusivity and genuine transport choices as two of its eight key</w:t>
      </w:r>
      <w:r w:rsidR="00602882">
        <w:rPr>
          <w:rStyle w:val="normaltextrun"/>
          <w:rFonts w:cs="Arial"/>
          <w:color w:val="000000"/>
          <w:shd w:val="clear" w:color="auto" w:fill="FFFFFF"/>
        </w:rPr>
        <w:t xml:space="preserve"> outcome areas.</w:t>
      </w:r>
      <w:r w:rsidR="004339B2">
        <w:rPr>
          <w:rStyle w:val="eop"/>
          <w:rFonts w:cs="Arial"/>
          <w:color w:val="000000"/>
          <w:shd w:val="clear" w:color="auto" w:fill="FFFFFF"/>
        </w:rPr>
        <w:t> </w:t>
      </w:r>
    </w:p>
    <w:p w14:paraId="2D74D68A" w14:textId="44B07B8E" w:rsidR="009B597A" w:rsidRDefault="002213EA" w:rsidP="00B94102">
      <w:pPr>
        <w:spacing w:line="360" w:lineRule="auto"/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DPA</w:t>
      </w:r>
      <w:r w:rsidR="00DE522E">
        <w:rPr>
          <w:rStyle w:val="eop"/>
          <w:rFonts w:cs="Arial"/>
          <w:color w:val="000000"/>
          <w:shd w:val="clear" w:color="auto" w:fill="FFFFFF"/>
        </w:rPr>
        <w:t xml:space="preserve"> also</w:t>
      </w:r>
      <w:r w:rsidR="00EC07F2">
        <w:rPr>
          <w:rStyle w:val="eop"/>
          <w:rFonts w:cs="Arial"/>
          <w:color w:val="000000"/>
          <w:shd w:val="clear" w:color="auto" w:fill="FFFFFF"/>
        </w:rPr>
        <w:t xml:space="preserve"> collaborated</w:t>
      </w:r>
      <w:r w:rsidR="00D11051">
        <w:rPr>
          <w:rStyle w:val="eop"/>
          <w:rFonts w:cs="Arial"/>
          <w:color w:val="000000"/>
          <w:shd w:val="clear" w:color="auto" w:fill="FFFFFF"/>
        </w:rPr>
        <w:t xml:space="preserve"> with transport consultants MR Cagney</w:t>
      </w:r>
      <w:r w:rsidR="00EC07F2">
        <w:rPr>
          <w:rStyle w:val="eop"/>
          <w:rFonts w:cs="Arial"/>
          <w:color w:val="000000"/>
          <w:shd w:val="clear" w:color="auto" w:fill="FFFFFF"/>
        </w:rPr>
        <w:t xml:space="preserve"> to produce an independent report for Waka Kotahi entitled</w:t>
      </w:r>
      <w:r w:rsidR="007A1B74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A1B74">
        <w:rPr>
          <w:rStyle w:val="normaltextrun"/>
          <w:rFonts w:cs="Arial"/>
          <w:i/>
          <w:iCs/>
          <w:color w:val="000000"/>
          <w:shd w:val="clear" w:color="auto" w:fill="FFFFFF"/>
        </w:rPr>
        <w:t>Transport experiences of disabled people in Aotearoa New Zealand</w:t>
      </w:r>
      <w:r w:rsidR="007543F6">
        <w:rPr>
          <w:rStyle w:val="normaltextrun"/>
          <w:rFonts w:cs="Arial"/>
          <w:color w:val="000000"/>
          <w:shd w:val="clear" w:color="auto" w:fill="FFFFFF"/>
        </w:rPr>
        <w:t>.</w:t>
      </w:r>
      <w:r w:rsidR="00CC7309">
        <w:rPr>
          <w:rStyle w:val="FootnoteReference"/>
          <w:rFonts w:cs="Arial"/>
          <w:color w:val="000000"/>
          <w:shd w:val="clear" w:color="auto" w:fill="FFFFFF"/>
        </w:rPr>
        <w:footnoteReference w:id="3"/>
      </w:r>
      <w:r w:rsidR="65CB6127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543F6">
        <w:rPr>
          <w:rStyle w:val="normaltextrun"/>
          <w:rFonts w:cs="Arial"/>
          <w:color w:val="000000"/>
          <w:shd w:val="clear" w:color="auto" w:fill="FFFFFF"/>
        </w:rPr>
        <w:t>This report</w:t>
      </w:r>
      <w:r w:rsidR="0092594A">
        <w:rPr>
          <w:rStyle w:val="normaltextrun"/>
          <w:rFonts w:cs="Arial"/>
          <w:color w:val="000000"/>
          <w:shd w:val="clear" w:color="auto" w:fill="FFFFFF"/>
        </w:rPr>
        <w:t xml:space="preserve">, published in 2022, </w:t>
      </w:r>
      <w:r w:rsidR="007543F6">
        <w:rPr>
          <w:rStyle w:val="normaltextrun"/>
          <w:rFonts w:cs="Arial"/>
          <w:color w:val="000000"/>
          <w:shd w:val="clear" w:color="auto" w:fill="FFFFFF"/>
        </w:rPr>
        <w:t>outlined the various barriers faced by disabled people when accessing public transport in this country, including</w:t>
      </w:r>
      <w:r w:rsidR="007A1B74">
        <w:rPr>
          <w:rStyle w:val="eop"/>
          <w:rFonts w:cs="Arial"/>
          <w:color w:val="000000"/>
          <w:shd w:val="clear" w:color="auto" w:fill="FFFFFF"/>
        </w:rPr>
        <w:t> </w:t>
      </w:r>
      <w:r w:rsidR="00F03D9E">
        <w:rPr>
          <w:rStyle w:val="eop"/>
          <w:rFonts w:cs="Arial"/>
          <w:color w:val="000000"/>
          <w:shd w:val="clear" w:color="auto" w:fill="FFFFFF"/>
        </w:rPr>
        <w:t>around safety.</w:t>
      </w:r>
    </w:p>
    <w:p w14:paraId="7A166F09" w14:textId="7553EE7C" w:rsidR="00F03D9E" w:rsidRDefault="0055317D" w:rsidP="00B94102">
      <w:pPr>
        <w:spacing w:line="360" w:lineRule="auto"/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Some of the key findings of th</w:t>
      </w:r>
      <w:r w:rsidR="00D25AC6">
        <w:rPr>
          <w:rStyle w:val="eop"/>
          <w:rFonts w:cs="Arial"/>
          <w:color w:val="000000"/>
          <w:shd w:val="clear" w:color="auto" w:fill="FFFFFF"/>
        </w:rPr>
        <w:t xml:space="preserve">is </w:t>
      </w:r>
      <w:r w:rsidR="00FA22E6">
        <w:rPr>
          <w:rStyle w:val="eop"/>
          <w:rFonts w:cs="Arial"/>
          <w:color w:val="000000"/>
          <w:shd w:val="clear" w:color="auto" w:fill="FFFFFF"/>
        </w:rPr>
        <w:t xml:space="preserve">report </w:t>
      </w:r>
      <w:r w:rsidR="022B6B67">
        <w:rPr>
          <w:rStyle w:val="eop"/>
          <w:rFonts w:cs="Arial"/>
          <w:color w:val="000000"/>
          <w:shd w:val="clear" w:color="auto" w:fill="FFFFFF"/>
        </w:rPr>
        <w:t>around</w:t>
      </w:r>
      <w:r w:rsidR="00FA22E6">
        <w:rPr>
          <w:rStyle w:val="eop"/>
          <w:rFonts w:cs="Arial"/>
          <w:color w:val="000000"/>
          <w:shd w:val="clear" w:color="auto" w:fill="FFFFFF"/>
        </w:rPr>
        <w:t xml:space="preserve"> safety </w:t>
      </w:r>
      <w:r w:rsidR="00056189">
        <w:rPr>
          <w:rStyle w:val="eop"/>
          <w:rFonts w:cs="Arial"/>
          <w:color w:val="000000"/>
          <w:shd w:val="clear" w:color="auto" w:fill="FFFFFF"/>
        </w:rPr>
        <w:t>included</w:t>
      </w:r>
      <w:r w:rsidR="00FA22E6">
        <w:rPr>
          <w:rStyle w:val="eop"/>
          <w:rFonts w:cs="Arial"/>
          <w:color w:val="000000"/>
          <w:shd w:val="clear" w:color="auto" w:fill="FFFFFF"/>
        </w:rPr>
        <w:t xml:space="preserve"> that disabled pedestrians felt vulnerable on shared paths with bikes and e-scooters and</w:t>
      </w:r>
      <w:r w:rsidR="00056189">
        <w:rPr>
          <w:rStyle w:val="eop"/>
          <w:rFonts w:cs="Arial"/>
          <w:color w:val="000000"/>
          <w:shd w:val="clear" w:color="auto" w:fill="FFFFFF"/>
        </w:rPr>
        <w:t xml:space="preserve"> that</w:t>
      </w:r>
      <w:r w:rsidR="00FA22E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DF24A8">
        <w:rPr>
          <w:rStyle w:val="eop"/>
          <w:rFonts w:cs="Arial"/>
          <w:color w:val="000000"/>
          <w:shd w:val="clear" w:color="auto" w:fill="FFFFFF"/>
        </w:rPr>
        <w:t>the attitudes of non-disabled drivers made disabled drivers and pedestrians feel unsafe</w:t>
      </w:r>
      <w:r w:rsidR="00812B58">
        <w:rPr>
          <w:rStyle w:val="eop"/>
          <w:rFonts w:cs="Arial"/>
          <w:color w:val="000000"/>
          <w:shd w:val="clear" w:color="auto" w:fill="FFFFFF"/>
        </w:rPr>
        <w:t xml:space="preserve"> on our roads.</w:t>
      </w:r>
    </w:p>
    <w:p w14:paraId="6F81E253" w14:textId="36D6A8CD" w:rsidR="007C1196" w:rsidRDefault="58ABB942" w:rsidP="00B94102">
      <w:pPr>
        <w:spacing w:line="360" w:lineRule="auto"/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The</w:t>
      </w:r>
      <w:r w:rsidR="00307D8B">
        <w:rPr>
          <w:rStyle w:val="eop"/>
          <w:rFonts w:cs="Arial"/>
          <w:color w:val="000000"/>
          <w:shd w:val="clear" w:color="auto" w:fill="FFFFFF"/>
        </w:rPr>
        <w:t xml:space="preserve"> abovementioned factors should be borne in mind by Council as it comes to consider th</w:t>
      </w:r>
      <w:r w:rsidR="00E4030B">
        <w:rPr>
          <w:rStyle w:val="eop"/>
          <w:rFonts w:cs="Arial"/>
          <w:color w:val="000000"/>
          <w:shd w:val="clear" w:color="auto" w:fill="FFFFFF"/>
        </w:rPr>
        <w:t>is draft speed management plan which will</w:t>
      </w:r>
      <w:r w:rsidR="00E305DB">
        <w:rPr>
          <w:rStyle w:val="eop"/>
          <w:rFonts w:cs="Arial"/>
          <w:color w:val="000000"/>
          <w:shd w:val="clear" w:color="auto" w:fill="FFFFFF"/>
        </w:rPr>
        <w:t xml:space="preserve"> hopefully make</w:t>
      </w:r>
      <w:r w:rsidR="00307D8B">
        <w:rPr>
          <w:rStyle w:val="eop"/>
          <w:rFonts w:cs="Arial"/>
          <w:color w:val="000000"/>
          <w:shd w:val="clear" w:color="auto" w:fill="FFFFFF"/>
        </w:rPr>
        <w:t xml:space="preserve"> Hamilton’s roads and streets even safer</w:t>
      </w:r>
      <w:r w:rsidR="00E305DB">
        <w:rPr>
          <w:rStyle w:val="eop"/>
          <w:rFonts w:cs="Arial"/>
          <w:color w:val="000000"/>
          <w:shd w:val="clear" w:color="auto" w:fill="FFFFFF"/>
        </w:rPr>
        <w:t xml:space="preserve"> for everyone</w:t>
      </w:r>
      <w:r w:rsidR="00322553">
        <w:rPr>
          <w:rStyle w:val="eop"/>
          <w:rFonts w:cs="Arial"/>
          <w:color w:val="000000"/>
          <w:shd w:val="clear" w:color="auto" w:fill="FFFFFF"/>
        </w:rPr>
        <w:t>, both motorists and pedestrians alike</w:t>
      </w:r>
      <w:r w:rsidR="007C1196">
        <w:rPr>
          <w:rStyle w:val="eop"/>
          <w:rFonts w:cs="Arial"/>
          <w:color w:val="000000"/>
          <w:shd w:val="clear" w:color="auto" w:fill="FFFFFF"/>
        </w:rPr>
        <w:t>.</w:t>
      </w:r>
    </w:p>
    <w:p w14:paraId="580992BF" w14:textId="5587EBA0" w:rsidR="00E305DB" w:rsidRDefault="0066624B" w:rsidP="00B94102">
      <w:pPr>
        <w:spacing w:line="360" w:lineRule="auto"/>
        <w:rPr>
          <w:rStyle w:val="eop"/>
          <w:rFonts w:cs="Arial"/>
          <w:b/>
          <w:bCs/>
          <w:color w:val="1F3864" w:themeColor="accent5" w:themeShade="80"/>
          <w:sz w:val="28"/>
          <w:szCs w:val="28"/>
          <w:shd w:val="clear" w:color="auto" w:fill="FFFFFF"/>
        </w:rPr>
      </w:pPr>
      <w:r w:rsidRPr="00630008">
        <w:rPr>
          <w:rStyle w:val="eop"/>
          <w:rFonts w:cs="Arial"/>
          <w:b/>
          <w:bCs/>
          <w:color w:val="1F3864" w:themeColor="accent5" w:themeShade="80"/>
          <w:sz w:val="28"/>
          <w:szCs w:val="28"/>
          <w:shd w:val="clear" w:color="auto" w:fill="FFFFFF"/>
        </w:rPr>
        <w:t xml:space="preserve">DPA supports proposed </w:t>
      </w:r>
      <w:r w:rsidR="00602882" w:rsidRPr="00630008">
        <w:rPr>
          <w:rStyle w:val="eop"/>
          <w:rFonts w:cs="Arial"/>
          <w:b/>
          <w:bCs/>
          <w:color w:val="1F3864" w:themeColor="accent5" w:themeShade="80"/>
          <w:sz w:val="28"/>
          <w:szCs w:val="28"/>
          <w:shd w:val="clear" w:color="auto" w:fill="FFFFFF"/>
        </w:rPr>
        <w:t xml:space="preserve">speed management </w:t>
      </w:r>
      <w:proofErr w:type="gramStart"/>
      <w:r w:rsidR="00602882" w:rsidRPr="00630008">
        <w:rPr>
          <w:rStyle w:val="eop"/>
          <w:rFonts w:cs="Arial"/>
          <w:b/>
          <w:bCs/>
          <w:color w:val="1F3864" w:themeColor="accent5" w:themeShade="80"/>
          <w:sz w:val="28"/>
          <w:szCs w:val="28"/>
          <w:shd w:val="clear" w:color="auto" w:fill="FFFFFF"/>
        </w:rPr>
        <w:t>plan</w:t>
      </w:r>
      <w:proofErr w:type="gramEnd"/>
    </w:p>
    <w:p w14:paraId="5ADC50A9" w14:textId="6BA81328" w:rsidR="008139D8" w:rsidRPr="008139D8" w:rsidRDefault="44D6FDB6" w:rsidP="00B94102">
      <w:pPr>
        <w:spacing w:line="360" w:lineRule="auto"/>
        <w:rPr>
          <w:rStyle w:val="eop"/>
          <w:rFonts w:cs="Arial"/>
          <w:color w:val="1F3864" w:themeColor="accent5" w:themeShade="80"/>
          <w:shd w:val="clear" w:color="auto" w:fill="FFFFFF"/>
        </w:rPr>
      </w:pPr>
      <w:r w:rsidRPr="7874D6EB">
        <w:rPr>
          <w:rStyle w:val="eop"/>
          <w:rFonts w:cs="Arial"/>
        </w:rPr>
        <w:t>DPA supports the proposed speed management plan.</w:t>
      </w:r>
    </w:p>
    <w:p w14:paraId="44295EC1" w14:textId="612A85BD" w:rsidR="00602882" w:rsidRPr="00062394" w:rsidRDefault="2E34A351" w:rsidP="00B94102">
      <w:pPr>
        <w:spacing w:line="360" w:lineRule="auto"/>
        <w:rPr>
          <w:rStyle w:val="eop"/>
          <w:rFonts w:cs="Arial"/>
          <w:color w:val="1F3864" w:themeColor="accent5" w:themeShade="80"/>
          <w:shd w:val="clear" w:color="auto" w:fill="FFFFFF"/>
        </w:rPr>
      </w:pPr>
      <w:r w:rsidRPr="7874D6EB">
        <w:rPr>
          <w:rStyle w:val="eop"/>
          <w:rFonts w:cs="Arial"/>
        </w:rPr>
        <w:t>In terms of speed management principles, DPA</w:t>
      </w:r>
      <w:r w:rsidR="44D6FDB6" w:rsidRPr="7874D6EB">
        <w:rPr>
          <w:rStyle w:val="eop"/>
          <w:rFonts w:cs="Arial"/>
        </w:rPr>
        <w:t xml:space="preserve"> welcome</w:t>
      </w:r>
      <w:r w:rsidR="0031B561" w:rsidRPr="7874D6EB">
        <w:rPr>
          <w:rStyle w:val="eop"/>
          <w:rFonts w:cs="Arial"/>
        </w:rPr>
        <w:t>s</w:t>
      </w:r>
      <w:r w:rsidR="44D6FDB6" w:rsidRPr="7874D6EB">
        <w:rPr>
          <w:rStyle w:val="eop"/>
          <w:rFonts w:cs="Arial"/>
        </w:rPr>
        <w:t xml:space="preserve"> the commitment to </w:t>
      </w:r>
      <w:r w:rsidR="75722261" w:rsidRPr="7874D6EB">
        <w:rPr>
          <w:rStyle w:val="eop"/>
          <w:rFonts w:cs="Arial"/>
        </w:rPr>
        <w:t xml:space="preserve">reduce road speeds around schools at school times to 30km/h in line with national guidelines. Applying the same speed restrictions </w:t>
      </w:r>
      <w:r w:rsidR="6F8FBE1F" w:rsidRPr="7874D6EB">
        <w:rPr>
          <w:rStyle w:val="eop"/>
          <w:rFonts w:cs="Arial"/>
        </w:rPr>
        <w:t xml:space="preserve">in areas where there are high </w:t>
      </w:r>
      <w:r w:rsidR="6F8FBE1F" w:rsidRPr="7874D6EB">
        <w:rPr>
          <w:rStyle w:val="eop"/>
          <w:rFonts w:cs="Arial"/>
        </w:rPr>
        <w:lastRenderedPageBreak/>
        <w:t xml:space="preserve">numbers of people walking, </w:t>
      </w:r>
      <w:proofErr w:type="gramStart"/>
      <w:r w:rsidR="6F8FBE1F" w:rsidRPr="7874D6EB">
        <w:rPr>
          <w:rStyle w:val="eop"/>
          <w:rFonts w:cs="Arial"/>
        </w:rPr>
        <w:t>biking</w:t>
      </w:r>
      <w:proofErr w:type="gramEnd"/>
      <w:r w:rsidR="6F8FBE1F" w:rsidRPr="7874D6EB">
        <w:rPr>
          <w:rStyle w:val="eop"/>
          <w:rFonts w:cs="Arial"/>
        </w:rPr>
        <w:t xml:space="preserve"> and crossing makes sense too, as there will be many disabled people in th</w:t>
      </w:r>
      <w:r w:rsidR="3425975B" w:rsidRPr="7874D6EB">
        <w:rPr>
          <w:rStyle w:val="eop"/>
          <w:rFonts w:cs="Arial"/>
        </w:rPr>
        <w:t>ese categories.</w:t>
      </w:r>
    </w:p>
    <w:p w14:paraId="52C29580" w14:textId="40BA608A" w:rsidR="46E9FF92" w:rsidRDefault="46E9FF92" w:rsidP="7874D6EB">
      <w:pPr>
        <w:spacing w:line="360" w:lineRule="auto"/>
        <w:rPr>
          <w:rStyle w:val="eop"/>
          <w:rFonts w:cs="Arial"/>
        </w:rPr>
      </w:pPr>
      <w:r w:rsidRPr="7874D6EB">
        <w:rPr>
          <w:rStyle w:val="eop"/>
          <w:rFonts w:cs="Arial"/>
        </w:rPr>
        <w:t>DPA also agrees with the speed management priorities outlined in the plan.</w:t>
      </w:r>
    </w:p>
    <w:p w14:paraId="2E79EDE3" w14:textId="63766352" w:rsidR="00DD052E" w:rsidRDefault="00DD052E" w:rsidP="7874D6EB">
      <w:pPr>
        <w:spacing w:line="360" w:lineRule="auto"/>
        <w:rPr>
          <w:rStyle w:val="eop"/>
          <w:rFonts w:cs="Arial"/>
        </w:rPr>
      </w:pPr>
      <w:r>
        <w:rPr>
          <w:rStyle w:val="eop"/>
          <w:rFonts w:cs="Arial"/>
        </w:rPr>
        <w:t xml:space="preserve">We </w:t>
      </w:r>
      <w:r w:rsidR="00CF3526">
        <w:rPr>
          <w:rStyle w:val="eop"/>
          <w:rFonts w:cs="Arial"/>
        </w:rPr>
        <w:t>welcome the proposals made in terms of the speed management toolbox</w:t>
      </w:r>
      <w:r w:rsidR="00DD70F3">
        <w:rPr>
          <w:rStyle w:val="eop"/>
          <w:rFonts w:cs="Arial"/>
        </w:rPr>
        <w:t xml:space="preserve">, especially those pertaining to the building of raised platforms, pedestrian refuge islands, </w:t>
      </w:r>
      <w:r w:rsidR="00571BDA">
        <w:rPr>
          <w:rStyle w:val="eop"/>
          <w:rFonts w:cs="Arial"/>
        </w:rPr>
        <w:t xml:space="preserve">and lanes for people on bikes as it is important that cyclists are reasonably separated from pedestrians and motorists </w:t>
      </w:r>
      <w:r w:rsidR="00E468D0">
        <w:rPr>
          <w:rStyle w:val="eop"/>
          <w:rFonts w:cs="Arial"/>
        </w:rPr>
        <w:t>to ensure the safety of all three road user groups.</w:t>
      </w:r>
    </w:p>
    <w:p w14:paraId="0832059B" w14:textId="0CCF8967" w:rsidR="00D9294E" w:rsidRDefault="00D9294E" w:rsidP="7874D6EB">
      <w:pPr>
        <w:spacing w:line="360" w:lineRule="auto"/>
        <w:rPr>
          <w:rStyle w:val="eop"/>
          <w:rFonts w:cs="Arial"/>
        </w:rPr>
      </w:pPr>
      <w:r>
        <w:rPr>
          <w:rStyle w:val="eop"/>
          <w:rFonts w:cs="Arial"/>
        </w:rPr>
        <w:t>DPA is supportive of the plans to continue running road safety promotions to promote good</w:t>
      </w:r>
      <w:r w:rsidR="00EE55B5">
        <w:rPr>
          <w:rStyle w:val="eop"/>
          <w:rFonts w:cs="Arial"/>
        </w:rPr>
        <w:t xml:space="preserve"> driver/road user behaviour. </w:t>
      </w:r>
    </w:p>
    <w:p w14:paraId="1FFE08B1" w14:textId="591D40CF" w:rsidR="00EE55B5" w:rsidRDefault="00EE55B5" w:rsidP="7874D6EB">
      <w:pPr>
        <w:spacing w:line="360" w:lineRule="auto"/>
        <w:rPr>
          <w:rStyle w:val="eop"/>
          <w:rFonts w:cs="Arial"/>
        </w:rPr>
      </w:pPr>
      <w:r>
        <w:rPr>
          <w:rStyle w:val="eop"/>
          <w:rFonts w:cs="Arial"/>
        </w:rPr>
        <w:t>The one recommendation we would make is that these campaigns and the promotional materials around them be made accessible to</w:t>
      </w:r>
      <w:r w:rsidR="00BF1659">
        <w:rPr>
          <w:rStyle w:val="eop"/>
          <w:rFonts w:cs="Arial"/>
        </w:rPr>
        <w:t xml:space="preserve"> all</w:t>
      </w:r>
      <w:r>
        <w:rPr>
          <w:rStyle w:val="eop"/>
          <w:rFonts w:cs="Arial"/>
        </w:rPr>
        <w:t xml:space="preserve"> disabled people</w:t>
      </w:r>
      <w:r w:rsidR="000468A2">
        <w:rPr>
          <w:rStyle w:val="eop"/>
          <w:rFonts w:cs="Arial"/>
        </w:rPr>
        <w:t xml:space="preserve"> (including children) in formats including New Zealand Sign Language, Braille, Easy Read, </w:t>
      </w:r>
      <w:r w:rsidR="00BF1659">
        <w:rPr>
          <w:rStyle w:val="eop"/>
          <w:rFonts w:cs="Arial"/>
        </w:rPr>
        <w:t xml:space="preserve">Plain </w:t>
      </w:r>
      <w:proofErr w:type="gramStart"/>
      <w:r w:rsidR="00BF1659">
        <w:rPr>
          <w:rStyle w:val="eop"/>
          <w:rFonts w:cs="Arial"/>
        </w:rPr>
        <w:t>English</w:t>
      </w:r>
      <w:proofErr w:type="gramEnd"/>
      <w:r w:rsidR="00BF1659">
        <w:rPr>
          <w:rStyle w:val="eop"/>
          <w:rFonts w:cs="Arial"/>
        </w:rPr>
        <w:t xml:space="preserve"> and audio.</w:t>
      </w:r>
    </w:p>
    <w:p w14:paraId="3789BB75" w14:textId="60B5AD18" w:rsidR="00FD72DA" w:rsidRDefault="00A87F48" w:rsidP="7874D6EB">
      <w:pPr>
        <w:spacing w:line="360" w:lineRule="auto"/>
        <w:rPr>
          <w:rStyle w:val="eop"/>
          <w:rFonts w:cs="Arial"/>
        </w:rPr>
      </w:pPr>
      <w:r>
        <w:rPr>
          <w:rStyle w:val="eop"/>
          <w:rFonts w:cs="Arial"/>
        </w:rPr>
        <w:t xml:space="preserve">Road safety campaigns conducted by Council in collaboration with Waka Kotahi and the New Zealand Police should be inclusive of everyone, including disabled people and other </w:t>
      </w:r>
      <w:r w:rsidR="00165C76">
        <w:rPr>
          <w:rStyle w:val="eop"/>
          <w:rFonts w:cs="Arial"/>
        </w:rPr>
        <w:t xml:space="preserve">equity groups (i.e., Māori, Pasifika, ethnic communities, </w:t>
      </w:r>
      <w:proofErr w:type="spellStart"/>
      <w:r w:rsidR="00D119FD">
        <w:rPr>
          <w:rStyle w:val="eop"/>
          <w:rFonts w:cs="Arial"/>
        </w:rPr>
        <w:t>rangatahi</w:t>
      </w:r>
      <w:proofErr w:type="spellEnd"/>
      <w:r w:rsidR="00D119FD">
        <w:rPr>
          <w:rStyle w:val="eop"/>
          <w:rFonts w:cs="Arial"/>
        </w:rPr>
        <w:t>/youth).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2D7" w14:paraId="41F493F3" w14:textId="77777777" w:rsidTr="003E22D7">
        <w:tc>
          <w:tcPr>
            <w:tcW w:w="9016" w:type="dxa"/>
          </w:tcPr>
          <w:p w14:paraId="16B89338" w14:textId="193071A8" w:rsidR="003E22D7" w:rsidRDefault="003E22D7" w:rsidP="7874D6EB">
            <w:pPr>
              <w:spacing w:line="360" w:lineRule="auto"/>
              <w:rPr>
                <w:rStyle w:val="eop"/>
                <w:rFonts w:cs="Arial"/>
              </w:rPr>
            </w:pPr>
            <w:r w:rsidRPr="00585707">
              <w:rPr>
                <w:rStyle w:val="eop"/>
                <w:rFonts w:cs="Arial"/>
                <w:b/>
                <w:bCs/>
              </w:rPr>
              <w:t xml:space="preserve">Recommendation 1: </w:t>
            </w:r>
            <w:r>
              <w:rPr>
                <w:rStyle w:val="eop"/>
                <w:rFonts w:cs="Arial"/>
              </w:rPr>
              <w:t>that road safety campaign promotional materials be made accessible to disabled people in accessible formats including i.e., New Zealand Sign Language and Easy Read.</w:t>
            </w:r>
          </w:p>
        </w:tc>
      </w:tr>
    </w:tbl>
    <w:p w14:paraId="321F3698" w14:textId="77777777" w:rsidR="00FD72DA" w:rsidRDefault="00FD72DA" w:rsidP="7874D6EB">
      <w:pPr>
        <w:spacing w:line="360" w:lineRule="auto"/>
        <w:rPr>
          <w:rStyle w:val="eop"/>
          <w:rFonts w:cs="Arial"/>
        </w:rPr>
      </w:pPr>
    </w:p>
    <w:p w14:paraId="5C2B0A79" w14:textId="3468238B" w:rsidR="00F94E12" w:rsidRDefault="005100F9" w:rsidP="7874D6EB">
      <w:pPr>
        <w:spacing w:line="360" w:lineRule="auto"/>
        <w:rPr>
          <w:rStyle w:val="eop"/>
          <w:rFonts w:cs="Arial"/>
        </w:rPr>
      </w:pPr>
      <w:r>
        <w:rPr>
          <w:rStyle w:val="eop"/>
          <w:rFonts w:cs="Arial"/>
        </w:rPr>
        <w:t>Our second recommendation concerns the need to involve disabled people</w:t>
      </w:r>
      <w:r w:rsidR="00E94697">
        <w:rPr>
          <w:rStyle w:val="eop"/>
          <w:rFonts w:cs="Arial"/>
        </w:rPr>
        <w:t xml:space="preserve"> and disability organisations</w:t>
      </w:r>
      <w:r>
        <w:rPr>
          <w:rStyle w:val="eop"/>
          <w:rFonts w:cs="Arial"/>
        </w:rPr>
        <w:t xml:space="preserve"> </w:t>
      </w:r>
      <w:r w:rsidR="00E94697">
        <w:rPr>
          <w:rStyle w:val="eop"/>
          <w:rFonts w:cs="Arial"/>
        </w:rPr>
        <w:t>as one of the key groups to be consulted</w:t>
      </w:r>
      <w:r w:rsidR="00F96999">
        <w:rPr>
          <w:rStyle w:val="eop"/>
          <w:rFonts w:cs="Arial"/>
        </w:rPr>
        <w:t xml:space="preserve"> by Council</w:t>
      </w:r>
      <w:r w:rsidR="00E94697">
        <w:rPr>
          <w:rStyle w:val="eop"/>
          <w:rFonts w:cs="Arial"/>
        </w:rPr>
        <w:t xml:space="preserve"> during the implementation</w:t>
      </w:r>
      <w:r w:rsidR="0066394F">
        <w:rPr>
          <w:rStyle w:val="eop"/>
          <w:rFonts w:cs="Arial"/>
        </w:rPr>
        <w:t xml:space="preserve"> and ongoing operationalising</w:t>
      </w:r>
      <w:r w:rsidR="00E94697">
        <w:rPr>
          <w:rStyle w:val="eop"/>
          <w:rFonts w:cs="Arial"/>
        </w:rPr>
        <w:t xml:space="preserve"> of this plan. This is to ensure that our voices are</w:t>
      </w:r>
      <w:r w:rsidR="00F94E12">
        <w:rPr>
          <w:rStyle w:val="eop"/>
          <w:rFonts w:cs="Arial"/>
        </w:rPr>
        <w:t xml:space="preserve"> heard by Council during this process and to gain our feedback on how things are working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8AB" w14:paraId="1B2FCDEB" w14:textId="77777777" w:rsidTr="002708AB">
        <w:tc>
          <w:tcPr>
            <w:tcW w:w="9016" w:type="dxa"/>
          </w:tcPr>
          <w:p w14:paraId="2488479B" w14:textId="2AA08596" w:rsidR="002708AB" w:rsidRDefault="002708AB" w:rsidP="7874D6EB">
            <w:pPr>
              <w:spacing w:line="360" w:lineRule="auto"/>
              <w:rPr>
                <w:rStyle w:val="eop"/>
                <w:rFonts w:cs="Arial"/>
              </w:rPr>
            </w:pPr>
            <w:r w:rsidRPr="0066394F">
              <w:rPr>
                <w:rStyle w:val="eop"/>
                <w:rFonts w:cs="Arial"/>
                <w:b/>
                <w:bCs/>
              </w:rPr>
              <w:lastRenderedPageBreak/>
              <w:t>Recommendation 2:</w:t>
            </w:r>
            <w:r>
              <w:rPr>
                <w:rStyle w:val="eop"/>
                <w:rFonts w:cs="Arial"/>
                <w:b/>
                <w:bCs/>
              </w:rPr>
              <w:t xml:space="preserve"> </w:t>
            </w:r>
            <w:r>
              <w:rPr>
                <w:rStyle w:val="eop"/>
                <w:rFonts w:cs="Arial"/>
              </w:rPr>
              <w:t>that disabled people and disability organisations are consulted by the HCC during the implementation and operationalising of this plan.</w:t>
            </w:r>
          </w:p>
        </w:tc>
      </w:tr>
    </w:tbl>
    <w:p w14:paraId="77933300" w14:textId="77777777" w:rsidR="002708AB" w:rsidRPr="00B92851" w:rsidRDefault="002708AB" w:rsidP="7874D6EB">
      <w:pPr>
        <w:spacing w:line="360" w:lineRule="auto"/>
        <w:rPr>
          <w:rStyle w:val="eop"/>
          <w:rFonts w:cs="Arial"/>
        </w:rPr>
      </w:pPr>
    </w:p>
    <w:sectPr w:rsidR="002708AB" w:rsidRPr="00B92851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BE69" w14:textId="77777777" w:rsidR="00846714" w:rsidRDefault="00846714" w:rsidP="005602D3">
      <w:pPr>
        <w:spacing w:after="0" w:line="240" w:lineRule="auto"/>
      </w:pPr>
      <w:r>
        <w:separator/>
      </w:r>
    </w:p>
  </w:endnote>
  <w:endnote w:type="continuationSeparator" w:id="0">
    <w:p w14:paraId="56EF890F" w14:textId="77777777" w:rsidR="00846714" w:rsidRDefault="00846714" w:rsidP="005602D3">
      <w:pPr>
        <w:spacing w:after="0" w:line="240" w:lineRule="auto"/>
      </w:pPr>
      <w:r>
        <w:continuationSeparator/>
      </w:r>
    </w:p>
  </w:endnote>
  <w:endnote w:type="continuationNotice" w:id="1">
    <w:p w14:paraId="00F9F21B" w14:textId="77777777" w:rsidR="00846714" w:rsidRDefault="00846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2C57" w14:textId="77777777" w:rsidR="00846714" w:rsidRDefault="00846714" w:rsidP="005602D3">
      <w:pPr>
        <w:spacing w:after="0" w:line="240" w:lineRule="auto"/>
      </w:pPr>
    </w:p>
  </w:footnote>
  <w:footnote w:type="continuationSeparator" w:id="0">
    <w:p w14:paraId="5EA90825" w14:textId="77777777" w:rsidR="00846714" w:rsidRDefault="00846714" w:rsidP="005602D3">
      <w:pPr>
        <w:spacing w:after="0" w:line="240" w:lineRule="auto"/>
      </w:pPr>
      <w:r>
        <w:continuationSeparator/>
      </w:r>
    </w:p>
  </w:footnote>
  <w:footnote w:type="continuationNotice" w:id="1">
    <w:p w14:paraId="438E6755" w14:textId="77777777" w:rsidR="00846714" w:rsidRPr="003D21B1" w:rsidRDefault="00846714" w:rsidP="003D21B1">
      <w:pPr>
        <w:pStyle w:val="Footer"/>
      </w:pPr>
    </w:p>
  </w:footnote>
  <w:footnote w:id="2">
    <w:p w14:paraId="720A6ECE" w14:textId="6C7172F7" w:rsidR="00CC7309" w:rsidRPr="00CC7309" w:rsidRDefault="00CC7309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 w:rsidR="00C60409">
        <w:rPr>
          <w:rStyle w:val="normaltextrun"/>
          <w:rFonts w:cs="Arial"/>
          <w:color w:val="000000"/>
          <w:shd w:val="clear" w:color="auto" w:fill="FFFFFF"/>
          <w:lang w:val="en-US"/>
        </w:rPr>
        <w:t>“Action – Implement transport stock tack recommendations” Office for Disability Issues, accessed August 13 2019, </w:t>
      </w:r>
      <w:hyperlink r:id="rId1" w:anchor="accordion-96-heading" w:tgtFrame="_blank" w:history="1">
        <w:r w:rsidR="00C60409">
          <w:rPr>
            <w:rStyle w:val="normaltextrun"/>
            <w:rFonts w:cs="Arial"/>
            <w:color w:val="0000FF"/>
            <w:u w:val="single"/>
            <w:shd w:val="clear" w:color="auto" w:fill="FFFFFF"/>
            <w:lang w:val="en-US"/>
          </w:rPr>
          <w:t>https://www.odi.govt.nz/nz-disability-strategy/outcome-5-accessibility/#accordion-96-heading</w:t>
        </w:r>
      </w:hyperlink>
    </w:p>
  </w:footnote>
  <w:footnote w:id="3">
    <w:p w14:paraId="31C0976A" w14:textId="28B9D5E5" w:rsidR="00CC7309" w:rsidRPr="00CC7309" w:rsidRDefault="00CC7309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 w:rsidR="00275132">
        <w:rPr>
          <w:rStyle w:val="normaltextrun"/>
          <w:rFonts w:cs="Arial"/>
          <w:color w:val="000000"/>
          <w:shd w:val="clear" w:color="auto" w:fill="FFFFFF"/>
        </w:rPr>
        <w:t>Doran, B., Crossland, K., Brown, P., &amp; Stafford, L. (2022). Transport experiences of disabled people in Aotearoa New Zealand (Waka Kotahi NZ Transport Agency research report 690). Retrieved from </w:t>
      </w:r>
      <w:hyperlink r:id="rId2" w:tgtFrame="_blank" w:history="1">
        <w:r w:rsidR="00275132">
          <w:rPr>
            <w:rStyle w:val="normaltextrun"/>
            <w:rFonts w:cs="Arial"/>
            <w:color w:val="0563C1"/>
            <w:u w:val="single"/>
            <w:shd w:val="clear" w:color="auto" w:fill="FFFFFF"/>
          </w:rPr>
          <w:t>https://www.nzta.govt.nz/resources/research/reports/690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00096"/>
    <w:multiLevelType w:val="hybridMultilevel"/>
    <w:tmpl w:val="4B961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37A51"/>
    <w:multiLevelType w:val="multilevel"/>
    <w:tmpl w:val="A4B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3"/>
  </w:num>
  <w:num w:numId="4" w16cid:durableId="25301161">
    <w:abstractNumId w:val="16"/>
  </w:num>
  <w:num w:numId="5" w16cid:durableId="1751850489">
    <w:abstractNumId w:val="18"/>
  </w:num>
  <w:num w:numId="6" w16cid:durableId="705910267">
    <w:abstractNumId w:val="28"/>
  </w:num>
  <w:num w:numId="7" w16cid:durableId="268657952">
    <w:abstractNumId w:val="27"/>
  </w:num>
  <w:num w:numId="8" w16cid:durableId="1116290010">
    <w:abstractNumId w:val="31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3"/>
  </w:num>
  <w:num w:numId="18" w16cid:durableId="125314328">
    <w:abstractNumId w:val="21"/>
  </w:num>
  <w:num w:numId="19" w16cid:durableId="196626558">
    <w:abstractNumId w:val="26"/>
  </w:num>
  <w:num w:numId="20" w16cid:durableId="992493483">
    <w:abstractNumId w:val="24"/>
  </w:num>
  <w:num w:numId="21" w16cid:durableId="884218452">
    <w:abstractNumId w:val="20"/>
  </w:num>
  <w:num w:numId="22" w16cid:durableId="998342359">
    <w:abstractNumId w:val="30"/>
  </w:num>
  <w:num w:numId="23" w16cid:durableId="521473645">
    <w:abstractNumId w:val="14"/>
  </w:num>
  <w:num w:numId="24" w16cid:durableId="1425418937">
    <w:abstractNumId w:val="25"/>
  </w:num>
  <w:num w:numId="25" w16cid:durableId="617758634">
    <w:abstractNumId w:val="22"/>
  </w:num>
  <w:num w:numId="26" w16cid:durableId="1378119871">
    <w:abstractNumId w:val="17"/>
  </w:num>
  <w:num w:numId="27" w16cid:durableId="1914273176">
    <w:abstractNumId w:val="13"/>
  </w:num>
  <w:num w:numId="28" w16cid:durableId="571743726">
    <w:abstractNumId w:val="32"/>
  </w:num>
  <w:num w:numId="29" w16cid:durableId="434249693">
    <w:abstractNumId w:val="10"/>
  </w:num>
  <w:num w:numId="30" w16cid:durableId="66273621">
    <w:abstractNumId w:val="15"/>
  </w:num>
  <w:num w:numId="31" w16cid:durableId="833109649">
    <w:abstractNumId w:val="19"/>
  </w:num>
  <w:num w:numId="32" w16cid:durableId="32274992">
    <w:abstractNumId w:val="29"/>
  </w:num>
  <w:num w:numId="33" w16cid:durableId="1257902679">
    <w:abstractNumId w:val="12"/>
  </w:num>
  <w:num w:numId="34" w16cid:durableId="8776207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2E71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468A2"/>
    <w:rsid w:val="00055EA7"/>
    <w:rsid w:val="00056189"/>
    <w:rsid w:val="000565CF"/>
    <w:rsid w:val="00060960"/>
    <w:rsid w:val="0006150E"/>
    <w:rsid w:val="00061633"/>
    <w:rsid w:val="000619B4"/>
    <w:rsid w:val="0006239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5AA1"/>
    <w:rsid w:val="000C753C"/>
    <w:rsid w:val="000D0029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0F71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5C7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9DD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13EA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8AB"/>
    <w:rsid w:val="00270F29"/>
    <w:rsid w:val="002717F8"/>
    <w:rsid w:val="00271838"/>
    <w:rsid w:val="00271C46"/>
    <w:rsid w:val="00272499"/>
    <w:rsid w:val="0027329C"/>
    <w:rsid w:val="00274DEA"/>
    <w:rsid w:val="00275132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1C3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0204"/>
    <w:rsid w:val="002E10F4"/>
    <w:rsid w:val="002E13F3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07D8B"/>
    <w:rsid w:val="00312F3F"/>
    <w:rsid w:val="00313118"/>
    <w:rsid w:val="003142CD"/>
    <w:rsid w:val="00314634"/>
    <w:rsid w:val="00315725"/>
    <w:rsid w:val="00315EEE"/>
    <w:rsid w:val="00315F4E"/>
    <w:rsid w:val="0031B561"/>
    <w:rsid w:val="00320239"/>
    <w:rsid w:val="0032076A"/>
    <w:rsid w:val="00320F41"/>
    <w:rsid w:val="00321102"/>
    <w:rsid w:val="0032227B"/>
    <w:rsid w:val="00322553"/>
    <w:rsid w:val="003273BB"/>
    <w:rsid w:val="00333C90"/>
    <w:rsid w:val="00336C26"/>
    <w:rsid w:val="00336C51"/>
    <w:rsid w:val="0034167C"/>
    <w:rsid w:val="00341F85"/>
    <w:rsid w:val="00343DB1"/>
    <w:rsid w:val="00345329"/>
    <w:rsid w:val="00345647"/>
    <w:rsid w:val="003467AC"/>
    <w:rsid w:val="00346926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4BA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901"/>
    <w:rsid w:val="003C0C3F"/>
    <w:rsid w:val="003C589A"/>
    <w:rsid w:val="003D21B1"/>
    <w:rsid w:val="003D524A"/>
    <w:rsid w:val="003D5299"/>
    <w:rsid w:val="003D794C"/>
    <w:rsid w:val="003E22D7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39B2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4E83"/>
    <w:rsid w:val="00466D3B"/>
    <w:rsid w:val="004677E9"/>
    <w:rsid w:val="00467FEF"/>
    <w:rsid w:val="004704EF"/>
    <w:rsid w:val="00470A10"/>
    <w:rsid w:val="00472061"/>
    <w:rsid w:val="004739CC"/>
    <w:rsid w:val="004739FA"/>
    <w:rsid w:val="00473C39"/>
    <w:rsid w:val="004757BD"/>
    <w:rsid w:val="00477F8C"/>
    <w:rsid w:val="00480677"/>
    <w:rsid w:val="00480F69"/>
    <w:rsid w:val="0048732F"/>
    <w:rsid w:val="00490E27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0F9"/>
    <w:rsid w:val="00510312"/>
    <w:rsid w:val="00510CDE"/>
    <w:rsid w:val="00510FCB"/>
    <w:rsid w:val="00514A4F"/>
    <w:rsid w:val="00515D39"/>
    <w:rsid w:val="00516BE8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17D"/>
    <w:rsid w:val="00553EAE"/>
    <w:rsid w:val="0055459C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1BDA"/>
    <w:rsid w:val="00572440"/>
    <w:rsid w:val="0057566C"/>
    <w:rsid w:val="00577AB5"/>
    <w:rsid w:val="00577E78"/>
    <w:rsid w:val="005847A3"/>
    <w:rsid w:val="00584E35"/>
    <w:rsid w:val="00585147"/>
    <w:rsid w:val="0058531E"/>
    <w:rsid w:val="00585707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338"/>
    <w:rsid w:val="005F7582"/>
    <w:rsid w:val="005F7EB2"/>
    <w:rsid w:val="0060123F"/>
    <w:rsid w:val="00601511"/>
    <w:rsid w:val="0060216E"/>
    <w:rsid w:val="00602389"/>
    <w:rsid w:val="00602882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0008"/>
    <w:rsid w:val="00632B37"/>
    <w:rsid w:val="00633C10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394F"/>
    <w:rsid w:val="006645EA"/>
    <w:rsid w:val="00665F29"/>
    <w:rsid w:val="0066624B"/>
    <w:rsid w:val="006664EC"/>
    <w:rsid w:val="00666C52"/>
    <w:rsid w:val="00671843"/>
    <w:rsid w:val="00672F6F"/>
    <w:rsid w:val="006730E5"/>
    <w:rsid w:val="0067361D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2A3B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36BF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3F6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1B0"/>
    <w:rsid w:val="00795D9D"/>
    <w:rsid w:val="007964C5"/>
    <w:rsid w:val="00796ACA"/>
    <w:rsid w:val="0079756D"/>
    <w:rsid w:val="007A07E5"/>
    <w:rsid w:val="007A1B74"/>
    <w:rsid w:val="007A1BB9"/>
    <w:rsid w:val="007A1FEF"/>
    <w:rsid w:val="007B2062"/>
    <w:rsid w:val="007B291C"/>
    <w:rsid w:val="007B2A92"/>
    <w:rsid w:val="007B4EA7"/>
    <w:rsid w:val="007C0469"/>
    <w:rsid w:val="007C1196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1891"/>
    <w:rsid w:val="007F49E5"/>
    <w:rsid w:val="007F50EA"/>
    <w:rsid w:val="007F7723"/>
    <w:rsid w:val="008008CC"/>
    <w:rsid w:val="00800CC5"/>
    <w:rsid w:val="008023F0"/>
    <w:rsid w:val="00806569"/>
    <w:rsid w:val="00807730"/>
    <w:rsid w:val="00810272"/>
    <w:rsid w:val="00810284"/>
    <w:rsid w:val="00812B58"/>
    <w:rsid w:val="008139D8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14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0B3A"/>
    <w:rsid w:val="00881843"/>
    <w:rsid w:val="0088220D"/>
    <w:rsid w:val="008824FF"/>
    <w:rsid w:val="008829E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B772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594A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12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3B77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B597A"/>
    <w:rsid w:val="009C0540"/>
    <w:rsid w:val="009C10B4"/>
    <w:rsid w:val="009C270D"/>
    <w:rsid w:val="009C47B2"/>
    <w:rsid w:val="009C504A"/>
    <w:rsid w:val="009C635D"/>
    <w:rsid w:val="009C6A7A"/>
    <w:rsid w:val="009C6AAB"/>
    <w:rsid w:val="009C7DC7"/>
    <w:rsid w:val="009D00BF"/>
    <w:rsid w:val="009D0609"/>
    <w:rsid w:val="009D09FB"/>
    <w:rsid w:val="009D5388"/>
    <w:rsid w:val="009D7981"/>
    <w:rsid w:val="009E1BCD"/>
    <w:rsid w:val="009E264E"/>
    <w:rsid w:val="009E37E8"/>
    <w:rsid w:val="009E3C43"/>
    <w:rsid w:val="009E7FE9"/>
    <w:rsid w:val="009F0395"/>
    <w:rsid w:val="009F2349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BE"/>
    <w:rsid w:val="00A07BE2"/>
    <w:rsid w:val="00A13774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406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87F48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29D5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87E"/>
    <w:rsid w:val="00B80D0A"/>
    <w:rsid w:val="00B84CBA"/>
    <w:rsid w:val="00B85A11"/>
    <w:rsid w:val="00B86799"/>
    <w:rsid w:val="00B86987"/>
    <w:rsid w:val="00B87888"/>
    <w:rsid w:val="00B87C03"/>
    <w:rsid w:val="00B9129D"/>
    <w:rsid w:val="00B92851"/>
    <w:rsid w:val="00B92D52"/>
    <w:rsid w:val="00B932BE"/>
    <w:rsid w:val="00B94102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288F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659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174E"/>
    <w:rsid w:val="00C156AC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4C0F"/>
    <w:rsid w:val="00C351C8"/>
    <w:rsid w:val="00C3691C"/>
    <w:rsid w:val="00C43B4C"/>
    <w:rsid w:val="00C448CB"/>
    <w:rsid w:val="00C51AB4"/>
    <w:rsid w:val="00C556D8"/>
    <w:rsid w:val="00C57293"/>
    <w:rsid w:val="00C5793D"/>
    <w:rsid w:val="00C60409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438B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309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26"/>
    <w:rsid w:val="00CF3570"/>
    <w:rsid w:val="00CF4628"/>
    <w:rsid w:val="00CF47D1"/>
    <w:rsid w:val="00CF5045"/>
    <w:rsid w:val="00CF626E"/>
    <w:rsid w:val="00CF7767"/>
    <w:rsid w:val="00D0003F"/>
    <w:rsid w:val="00D02073"/>
    <w:rsid w:val="00D03476"/>
    <w:rsid w:val="00D0554E"/>
    <w:rsid w:val="00D05E4F"/>
    <w:rsid w:val="00D11051"/>
    <w:rsid w:val="00D119FD"/>
    <w:rsid w:val="00D12FDC"/>
    <w:rsid w:val="00D13024"/>
    <w:rsid w:val="00D13EE0"/>
    <w:rsid w:val="00D147CB"/>
    <w:rsid w:val="00D150A3"/>
    <w:rsid w:val="00D15C3A"/>
    <w:rsid w:val="00D22ADF"/>
    <w:rsid w:val="00D22EFA"/>
    <w:rsid w:val="00D25A6D"/>
    <w:rsid w:val="00D25AC6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563F"/>
    <w:rsid w:val="00D86AF3"/>
    <w:rsid w:val="00D9294E"/>
    <w:rsid w:val="00D9310F"/>
    <w:rsid w:val="00D93508"/>
    <w:rsid w:val="00D94B9B"/>
    <w:rsid w:val="00D951A9"/>
    <w:rsid w:val="00D978F9"/>
    <w:rsid w:val="00D97F67"/>
    <w:rsid w:val="00DA2BAC"/>
    <w:rsid w:val="00DA3BC1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2E"/>
    <w:rsid w:val="00DD05AA"/>
    <w:rsid w:val="00DD28FC"/>
    <w:rsid w:val="00DD2A00"/>
    <w:rsid w:val="00DD537E"/>
    <w:rsid w:val="00DD70F3"/>
    <w:rsid w:val="00DD76BA"/>
    <w:rsid w:val="00DE0D7D"/>
    <w:rsid w:val="00DE2071"/>
    <w:rsid w:val="00DE2B56"/>
    <w:rsid w:val="00DE2E56"/>
    <w:rsid w:val="00DE50CA"/>
    <w:rsid w:val="00DE51F8"/>
    <w:rsid w:val="00DE522E"/>
    <w:rsid w:val="00DE5379"/>
    <w:rsid w:val="00DE6F37"/>
    <w:rsid w:val="00DF10AD"/>
    <w:rsid w:val="00DF1F93"/>
    <w:rsid w:val="00DF24A8"/>
    <w:rsid w:val="00DF5898"/>
    <w:rsid w:val="00DF7CAC"/>
    <w:rsid w:val="00E01B76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05DB"/>
    <w:rsid w:val="00E32523"/>
    <w:rsid w:val="00E352B7"/>
    <w:rsid w:val="00E37596"/>
    <w:rsid w:val="00E402B2"/>
    <w:rsid w:val="00E4030B"/>
    <w:rsid w:val="00E40E34"/>
    <w:rsid w:val="00E428AD"/>
    <w:rsid w:val="00E43873"/>
    <w:rsid w:val="00E43D44"/>
    <w:rsid w:val="00E453AD"/>
    <w:rsid w:val="00E468D0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1511"/>
    <w:rsid w:val="00E92340"/>
    <w:rsid w:val="00E926AF"/>
    <w:rsid w:val="00E928E4"/>
    <w:rsid w:val="00E93D72"/>
    <w:rsid w:val="00E94697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07F2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5B5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3D9E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4C14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4E12"/>
    <w:rsid w:val="00F95B31"/>
    <w:rsid w:val="00F96999"/>
    <w:rsid w:val="00FA178C"/>
    <w:rsid w:val="00FA22E6"/>
    <w:rsid w:val="00FA2BDF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D7268"/>
    <w:rsid w:val="00FD72DA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2B6B67"/>
    <w:rsid w:val="0251F4DC"/>
    <w:rsid w:val="025DE97D"/>
    <w:rsid w:val="0A6FCEE9"/>
    <w:rsid w:val="0C5D005F"/>
    <w:rsid w:val="1357158B"/>
    <w:rsid w:val="1527B478"/>
    <w:rsid w:val="1B1ADD68"/>
    <w:rsid w:val="1CC79082"/>
    <w:rsid w:val="2E34A351"/>
    <w:rsid w:val="3425975B"/>
    <w:rsid w:val="35A8198D"/>
    <w:rsid w:val="38BCFB06"/>
    <w:rsid w:val="3B0013A4"/>
    <w:rsid w:val="3CE862D8"/>
    <w:rsid w:val="3EE7AF5A"/>
    <w:rsid w:val="417185E9"/>
    <w:rsid w:val="43C4D4E6"/>
    <w:rsid w:val="44D6FDB6"/>
    <w:rsid w:val="46E9FF92"/>
    <w:rsid w:val="48E7F52C"/>
    <w:rsid w:val="4C7A2CC1"/>
    <w:rsid w:val="52475C71"/>
    <w:rsid w:val="5708E0EC"/>
    <w:rsid w:val="58ABB942"/>
    <w:rsid w:val="594D09B5"/>
    <w:rsid w:val="65CB6127"/>
    <w:rsid w:val="6F8FBE1F"/>
    <w:rsid w:val="706795DA"/>
    <w:rsid w:val="737CCECD"/>
    <w:rsid w:val="75397783"/>
    <w:rsid w:val="75722261"/>
    <w:rsid w:val="76983963"/>
    <w:rsid w:val="7874D6EB"/>
    <w:rsid w:val="799A5CBD"/>
    <w:rsid w:val="7ABDDB9C"/>
    <w:rsid w:val="7CD1F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zta.govt.nz/resources/research/reports/690" TargetMode="External"/><Relationship Id="rId1" Type="http://schemas.openxmlformats.org/officeDocument/2006/relationships/hyperlink" Target="https://www.odi.govt.nz/nz-disability-strategy/outcome-5-access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2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2023-07-03T05:11:00Z</dcterms:created>
  <dcterms:modified xsi:type="dcterms:W3CDTF">2023-07-03T05:11:00Z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