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7FE8CAB2" w:rsidR="000A33E1" w:rsidRPr="005244AE" w:rsidRDefault="00587C7D" w:rsidP="00E9298B">
      <w:r>
        <w:t xml:space="preserve">To </w:t>
      </w:r>
      <w:r w:rsidR="6FE9CDC1">
        <w:t>Governance and Administration Select Committee</w:t>
      </w:r>
    </w:p>
    <w:p w14:paraId="39E3DE5B" w14:textId="556134F6" w:rsidR="008443CB" w:rsidRDefault="00587C7D" w:rsidP="523AB646">
      <w:r>
        <w:t>Please find attached</w:t>
      </w:r>
      <w:r w:rsidR="000A33E1">
        <w:t xml:space="preserve"> DPA’s</w:t>
      </w:r>
      <w:r>
        <w:t xml:space="preserve"> submission</w:t>
      </w:r>
      <w:r w:rsidR="008443CB">
        <w:t xml:space="preserve"> </w:t>
      </w:r>
      <w:r w:rsidR="008E541D">
        <w:t>on</w:t>
      </w:r>
      <w:r w:rsidR="6201750C">
        <w:t xml:space="preserve"> the Local Government Electoral Legislation Bill 2022</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000000"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6904C149" w14:textId="4D81F271" w:rsidR="00634AEC" w:rsidRPr="004B588A" w:rsidRDefault="00634AEC" w:rsidP="359B0488">
      <w:pPr>
        <w:spacing w:line="276" w:lineRule="auto"/>
        <w:rPr>
          <w:rFonts w:ascii="Arial Rounded MT Bold" w:hAnsi="Arial Rounded MT Bold" w:cs="Arial"/>
          <w:b/>
          <w:bCs/>
          <w:color w:val="002060"/>
          <w:sz w:val="28"/>
          <w:szCs w:val="28"/>
        </w:rPr>
      </w:pPr>
      <w:r w:rsidRPr="359B0488">
        <w:rPr>
          <w:rFonts w:ascii="Arial Rounded MT Bold" w:hAnsi="Arial Rounded MT Bold"/>
          <w:color w:val="072B62" w:themeColor="background2" w:themeShade="40"/>
          <w:sz w:val="32"/>
          <w:szCs w:val="32"/>
        </w:rPr>
        <w:t>Introducing D</w:t>
      </w:r>
      <w:r w:rsidR="002E0071" w:rsidRPr="359B0488">
        <w:rPr>
          <w:rFonts w:ascii="Arial Rounded MT Bold" w:hAnsi="Arial Rounded MT Bold"/>
          <w:color w:val="072B62" w:themeColor="background2" w:themeShade="40"/>
          <w:sz w:val="32"/>
          <w:szCs w:val="32"/>
        </w:rPr>
        <w:t xml:space="preserve">isabled </w:t>
      </w:r>
      <w:r w:rsidRPr="359B0488">
        <w:rPr>
          <w:rFonts w:ascii="Arial Rounded MT Bold" w:hAnsi="Arial Rounded MT Bold"/>
          <w:color w:val="072B62" w:themeColor="background2" w:themeShade="40"/>
          <w:sz w:val="32"/>
          <w:szCs w:val="32"/>
        </w:rPr>
        <w:t>P</w:t>
      </w:r>
      <w:r w:rsidR="002E0071" w:rsidRPr="359B0488">
        <w:rPr>
          <w:rFonts w:ascii="Arial Rounded MT Bold" w:hAnsi="Arial Rounded MT Bold"/>
          <w:color w:val="072B62" w:themeColor="background2" w:themeShade="40"/>
          <w:sz w:val="32"/>
          <w:szCs w:val="32"/>
        </w:rPr>
        <w:t xml:space="preserve">ersons </w:t>
      </w:r>
      <w:r w:rsidRPr="359B0488">
        <w:rPr>
          <w:rFonts w:ascii="Arial Rounded MT Bold" w:hAnsi="Arial Rounded MT Bold"/>
          <w:color w:val="072B62" w:themeColor="background2" w:themeShade="40"/>
          <w:sz w:val="32"/>
          <w:szCs w:val="32"/>
        </w:rPr>
        <w:t>A</w:t>
      </w:r>
      <w:r w:rsidR="002E0071" w:rsidRPr="359B0488">
        <w:rPr>
          <w:rFonts w:ascii="Arial Rounded MT Bold" w:hAnsi="Arial Rounded MT Bold"/>
          <w:color w:val="072B62" w:themeColor="background2" w:themeShade="40"/>
          <w:sz w:val="32"/>
          <w:szCs w:val="32"/>
        </w:rPr>
        <w:t>ssembly</w:t>
      </w:r>
      <w:r w:rsidRPr="359B0488">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7"/>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7"/>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7"/>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sidRPr="02BF7A24">
        <w:rPr>
          <w:rStyle w:val="normaltextrun"/>
          <w:rFonts w:ascii="Arial" w:hAnsi="Arial" w:cs="Arial"/>
        </w:rPr>
        <w:t>a number of</w:t>
      </w:r>
      <w:proofErr w:type="gramEnd"/>
      <w:r w:rsidRPr="02BF7A24">
        <w:rPr>
          <w:rStyle w:val="normaltextrun"/>
          <w:rFonts w:ascii="Arial" w:hAnsi="Arial" w:cs="Arial"/>
        </w:rPr>
        <w:t xml:space="preserve">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A209B25">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0741AB40" w14:textId="637E23EB" w:rsidR="00586EE7" w:rsidRDefault="317B53CC" w:rsidP="0A209B25">
      <w:pPr>
        <w:spacing w:after="0"/>
        <w:textAlignment w:val="baseline"/>
        <w:rPr>
          <w:rStyle w:val="normaltextrun"/>
          <w:rFonts w:cs="Arial"/>
          <w:b/>
          <w:bCs/>
          <w:color w:val="1E5E9F" w:themeColor="accent3" w:themeShade="BF"/>
          <w:sz w:val="28"/>
          <w:szCs w:val="28"/>
        </w:rPr>
      </w:pPr>
      <w:r w:rsidRPr="0A209B25">
        <w:rPr>
          <w:rStyle w:val="normaltextrun"/>
          <w:rFonts w:cs="Arial"/>
          <w:b/>
          <w:bCs/>
          <w:color w:val="1E5E9F" w:themeColor="accent3" w:themeShade="BF"/>
          <w:sz w:val="28"/>
          <w:szCs w:val="28"/>
        </w:rPr>
        <w:t xml:space="preserve">Article 30 – Participation in </w:t>
      </w:r>
      <w:r w:rsidR="353D8534" w:rsidRPr="0A209B25">
        <w:rPr>
          <w:rStyle w:val="normaltextrun"/>
          <w:rFonts w:cs="Arial"/>
          <w:b/>
          <w:bCs/>
          <w:color w:val="1E5E9F" w:themeColor="accent3" w:themeShade="BF"/>
          <w:sz w:val="28"/>
          <w:szCs w:val="28"/>
        </w:rPr>
        <w:t>political and public life</w:t>
      </w:r>
    </w:p>
    <w:p w14:paraId="377DDF95" w14:textId="3ED19D73" w:rsidR="00586EE7" w:rsidRDefault="2396586E" w:rsidP="0A209B25">
      <w:pPr>
        <w:spacing w:after="0"/>
        <w:textAlignment w:val="baseline"/>
        <w:rPr>
          <w:rFonts w:eastAsia="Arial" w:cs="Arial"/>
          <w:szCs w:val="24"/>
        </w:rPr>
      </w:pPr>
      <w:r w:rsidRPr="0A209B25">
        <w:rPr>
          <w:rFonts w:eastAsia="Arial" w:cs="Arial"/>
          <w:szCs w:val="24"/>
        </w:rPr>
        <w:lastRenderedPageBreak/>
        <w:t>“States Parties shall guarantee to persons with disabilities political rights and the opportunity to enjoy them on an equal basis with others, and shall undertake to:</w:t>
      </w:r>
    </w:p>
    <w:p w14:paraId="20133324" w14:textId="122C10F9" w:rsidR="00586EE7" w:rsidRDefault="2396586E" w:rsidP="0A209B25">
      <w:pPr>
        <w:pStyle w:val="ListParagraph"/>
        <w:numPr>
          <w:ilvl w:val="0"/>
          <w:numId w:val="2"/>
        </w:numPr>
        <w:spacing w:after="0"/>
        <w:textAlignment w:val="baseline"/>
        <w:rPr>
          <w:rFonts w:eastAsia="Arial" w:cs="Arial"/>
          <w:color w:val="000000" w:themeColor="text1"/>
          <w:szCs w:val="24"/>
        </w:rPr>
      </w:pPr>
      <w:r w:rsidRPr="0A209B25">
        <w:rPr>
          <w:rFonts w:eastAsia="Arial" w:cs="Arial"/>
          <w:szCs w:val="24"/>
        </w:rPr>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10A639D5" w14:textId="3AF04A7D" w:rsidR="00586EE7" w:rsidRDefault="2396586E" w:rsidP="0A209B25">
      <w:pPr>
        <w:pStyle w:val="ListParagraph"/>
        <w:numPr>
          <w:ilvl w:val="1"/>
          <w:numId w:val="1"/>
        </w:numPr>
        <w:spacing w:after="0"/>
        <w:textAlignment w:val="baseline"/>
        <w:rPr>
          <w:rFonts w:eastAsia="Arial" w:cs="Arial"/>
          <w:color w:val="000000" w:themeColor="text1"/>
          <w:szCs w:val="24"/>
        </w:rPr>
      </w:pPr>
      <w:r w:rsidRPr="0A209B25">
        <w:rPr>
          <w:rFonts w:eastAsia="Arial" w:cs="Arial"/>
          <w:szCs w:val="24"/>
        </w:rPr>
        <w:t xml:space="preserve">Ensuring that voting procedures, facilities and materials are appropriate, accessible and easy to understand and </w:t>
      </w:r>
      <w:proofErr w:type="gramStart"/>
      <w:r w:rsidRPr="0A209B25">
        <w:rPr>
          <w:rFonts w:eastAsia="Arial" w:cs="Arial"/>
          <w:szCs w:val="24"/>
        </w:rPr>
        <w:t>use;</w:t>
      </w:r>
      <w:proofErr w:type="gramEnd"/>
    </w:p>
    <w:p w14:paraId="0EFA58A2" w14:textId="2D167322" w:rsidR="00586EE7" w:rsidRDefault="2396586E" w:rsidP="0A209B25">
      <w:pPr>
        <w:pStyle w:val="ListParagraph"/>
        <w:numPr>
          <w:ilvl w:val="1"/>
          <w:numId w:val="1"/>
        </w:numPr>
        <w:spacing w:after="0"/>
        <w:textAlignment w:val="baseline"/>
        <w:rPr>
          <w:rFonts w:eastAsia="Arial" w:cs="Arial"/>
          <w:color w:val="000000" w:themeColor="text1"/>
          <w:szCs w:val="24"/>
        </w:rPr>
      </w:pPr>
      <w:r w:rsidRPr="0A209B25">
        <w:rPr>
          <w:rFonts w:eastAsia="Arial" w:cs="Arial"/>
          <w:szCs w:val="24"/>
        </w:rPr>
        <w:t xml:space="preserve">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w:t>
      </w:r>
      <w:proofErr w:type="gramStart"/>
      <w:r w:rsidRPr="0A209B25">
        <w:rPr>
          <w:rFonts w:eastAsia="Arial" w:cs="Arial"/>
          <w:szCs w:val="24"/>
        </w:rPr>
        <w:t>appropriate;</w:t>
      </w:r>
      <w:proofErr w:type="gramEnd"/>
    </w:p>
    <w:p w14:paraId="70EE8D8D" w14:textId="187E30D3" w:rsidR="00586EE7" w:rsidRDefault="2396586E" w:rsidP="0A209B25">
      <w:pPr>
        <w:pStyle w:val="ListParagraph"/>
        <w:numPr>
          <w:ilvl w:val="1"/>
          <w:numId w:val="1"/>
        </w:numPr>
        <w:spacing w:after="0"/>
        <w:textAlignment w:val="baseline"/>
        <w:rPr>
          <w:rFonts w:eastAsia="Arial" w:cs="Arial"/>
          <w:color w:val="000000" w:themeColor="text1"/>
          <w:szCs w:val="24"/>
        </w:rPr>
      </w:pPr>
      <w:r w:rsidRPr="0A209B25">
        <w:rPr>
          <w:rFonts w:eastAsia="Arial" w:cs="Arial"/>
          <w:szCs w:val="24"/>
        </w:rPr>
        <w:t xml:space="preserve">Guaranteeing the free expression of the will of persons with disabilities as electors and to this end, where necessary, at their request, allowing assistance in voting by a person of their own </w:t>
      </w:r>
      <w:proofErr w:type="gramStart"/>
      <w:r w:rsidRPr="0A209B25">
        <w:rPr>
          <w:rFonts w:eastAsia="Arial" w:cs="Arial"/>
          <w:szCs w:val="24"/>
        </w:rPr>
        <w:t>choice;</w:t>
      </w:r>
      <w:proofErr w:type="gramEnd"/>
    </w:p>
    <w:p w14:paraId="7DF20122" w14:textId="62703BFE" w:rsidR="00586EE7" w:rsidRDefault="2396586E" w:rsidP="0A209B25">
      <w:pPr>
        <w:pStyle w:val="ListParagraph"/>
        <w:numPr>
          <w:ilvl w:val="0"/>
          <w:numId w:val="2"/>
        </w:numPr>
        <w:spacing w:after="0"/>
        <w:textAlignment w:val="baseline"/>
        <w:rPr>
          <w:rFonts w:eastAsia="Arial" w:cs="Arial"/>
          <w:color w:val="000000" w:themeColor="text1"/>
          <w:szCs w:val="24"/>
        </w:rPr>
      </w:pPr>
      <w:r w:rsidRPr="0A209B25">
        <w:rPr>
          <w:rFonts w:eastAsia="Arial" w:cs="Arial"/>
          <w:szCs w:val="24"/>
        </w:rPr>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14FB1F02" w14:textId="38D12074" w:rsidR="00586EE7" w:rsidRDefault="2396586E" w:rsidP="0A209B25">
      <w:pPr>
        <w:pStyle w:val="ListParagraph"/>
        <w:numPr>
          <w:ilvl w:val="1"/>
          <w:numId w:val="1"/>
        </w:numPr>
        <w:spacing w:after="0"/>
        <w:textAlignment w:val="baseline"/>
        <w:rPr>
          <w:rFonts w:eastAsia="Arial" w:cs="Arial"/>
          <w:color w:val="000000" w:themeColor="text1"/>
          <w:szCs w:val="24"/>
        </w:rPr>
      </w:pPr>
      <w:r w:rsidRPr="0A209B25">
        <w:rPr>
          <w:rFonts w:eastAsia="Arial" w:cs="Arial"/>
          <w:szCs w:val="24"/>
        </w:rPr>
        <w:t xml:space="preserve">Participation in non-governmental organizations and associations concerned with the public and political life of the country, and in the activities and administration of political </w:t>
      </w:r>
      <w:proofErr w:type="gramStart"/>
      <w:r w:rsidRPr="0A209B25">
        <w:rPr>
          <w:rFonts w:eastAsia="Arial" w:cs="Arial"/>
          <w:szCs w:val="24"/>
        </w:rPr>
        <w:t>parties;</w:t>
      </w:r>
      <w:proofErr w:type="gramEnd"/>
    </w:p>
    <w:p w14:paraId="35BB06DB" w14:textId="43579174" w:rsidR="00586EE7" w:rsidRDefault="2396586E" w:rsidP="0A209B25">
      <w:pPr>
        <w:pStyle w:val="ListParagraph"/>
        <w:numPr>
          <w:ilvl w:val="1"/>
          <w:numId w:val="1"/>
        </w:numPr>
        <w:spacing w:after="0"/>
        <w:textAlignment w:val="baseline"/>
        <w:rPr>
          <w:rFonts w:eastAsia="Arial" w:cs="Arial"/>
          <w:color w:val="000000" w:themeColor="text1"/>
          <w:szCs w:val="24"/>
        </w:rPr>
      </w:pPr>
      <w:r w:rsidRPr="0A209B25">
        <w:rPr>
          <w:rFonts w:eastAsia="Arial" w:cs="Arial"/>
          <w:szCs w:val="24"/>
        </w:rPr>
        <w:t xml:space="preserve">Forming and joining organizations of persons with disabilities to represent persons with disabilities at international, national, </w:t>
      </w:r>
      <w:proofErr w:type="gramStart"/>
      <w:r w:rsidRPr="0A209B25">
        <w:rPr>
          <w:rFonts w:eastAsia="Arial" w:cs="Arial"/>
          <w:szCs w:val="24"/>
        </w:rPr>
        <w:t>regional</w:t>
      </w:r>
      <w:proofErr w:type="gramEnd"/>
      <w:r w:rsidRPr="0A209B25">
        <w:rPr>
          <w:rFonts w:eastAsia="Arial" w:cs="Arial"/>
          <w:szCs w:val="24"/>
        </w:rPr>
        <w:t xml:space="preserve"> and local levels.”</w:t>
      </w:r>
    </w:p>
    <w:p w14:paraId="705DD065" w14:textId="77777777" w:rsidR="00586EE7" w:rsidRDefault="00586EE7" w:rsidP="0A209B25">
      <w:pPr>
        <w:pStyle w:val="paragraph"/>
        <w:spacing w:before="0" w:beforeAutospacing="0" w:after="0" w:afterAutospacing="0" w:line="360" w:lineRule="auto"/>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6B97FE4" w:rsidR="00586EE7" w:rsidRDefault="00586EE7" w:rsidP="0A209B25">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02BF7A24">
        <w:rPr>
          <w:rStyle w:val="normaltextrun"/>
          <w:rFonts w:ascii="Arial" w:hAnsi="Arial" w:cs="Arial"/>
        </w:rPr>
        <w:t>all of</w:t>
      </w:r>
      <w:proofErr w:type="gramEnd"/>
      <w:r w:rsidRPr="02BF7A24">
        <w:rPr>
          <w:rStyle w:val="normaltextrun"/>
          <w:rFonts w:ascii="Arial" w:hAnsi="Arial" w:cs="Arial"/>
        </w:rPr>
        <w:t xml:space="preserve"> New </w:t>
      </w:r>
      <w:r w:rsidRPr="02BF7A24">
        <w:rPr>
          <w:rStyle w:val="normaltextrun"/>
          <w:rFonts w:ascii="Arial" w:hAnsi="Arial" w:cs="Arial"/>
        </w:rPr>
        <w:lastRenderedPageBreak/>
        <w:t xml:space="preserve">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46244EA8" w14:textId="6F277F15" w:rsidR="1ECC7D34" w:rsidRDefault="00C5373A" w:rsidP="523AB646">
      <w:pPr>
        <w:rPr>
          <w:color w:val="000000" w:themeColor="text1"/>
        </w:rPr>
      </w:pPr>
      <w:r w:rsidRPr="0A209B25">
        <w:rPr>
          <w:rStyle w:val="normaltextrun"/>
          <w:color w:val="000000" w:themeColor="text1"/>
        </w:rPr>
        <w:t xml:space="preserve">DPA is providing this submission for </w:t>
      </w:r>
      <w:r w:rsidR="16A96739" w:rsidRPr="0A209B25">
        <w:rPr>
          <w:rStyle w:val="normaltextrun"/>
          <w:color w:val="000000" w:themeColor="text1"/>
        </w:rPr>
        <w:t>the benefit of the Governance and Administration Select Committee in its consideration of the Local Government Electoral Legislation Bill 2022</w:t>
      </w:r>
      <w:r w:rsidR="6059B3D8" w:rsidRPr="0A209B25">
        <w:rPr>
          <w:rStyle w:val="normaltextrun"/>
          <w:color w:val="000000" w:themeColor="text1"/>
        </w:rPr>
        <w:t>.</w:t>
      </w:r>
    </w:p>
    <w:p w14:paraId="5C61CD36" w14:textId="56CB0096" w:rsidR="6059B3D8" w:rsidRDefault="6365AE6D" w:rsidP="4118635F">
      <w:pPr>
        <w:rPr>
          <w:rStyle w:val="normaltextrun"/>
          <w:color w:val="000000" w:themeColor="text1"/>
        </w:rPr>
      </w:pPr>
      <w:r w:rsidRPr="4118635F">
        <w:rPr>
          <w:rStyle w:val="normaltextrun"/>
          <w:color w:val="000000" w:themeColor="text1"/>
        </w:rPr>
        <w:t xml:space="preserve">DPA is providing this brief submission in support of the Bill. However, we would like </w:t>
      </w:r>
      <w:r w:rsidR="7E9E2CE4" w:rsidRPr="4118635F">
        <w:rPr>
          <w:rStyle w:val="normaltextrun"/>
          <w:color w:val="000000" w:themeColor="text1"/>
        </w:rPr>
        <w:t>to see</w:t>
      </w:r>
      <w:r w:rsidRPr="4118635F">
        <w:rPr>
          <w:rStyle w:val="normaltextrun"/>
          <w:color w:val="000000" w:themeColor="text1"/>
        </w:rPr>
        <w:t xml:space="preserve"> a </w:t>
      </w:r>
      <w:r w:rsidR="019392B8" w:rsidRPr="4118635F">
        <w:rPr>
          <w:rStyle w:val="normaltextrun"/>
          <w:color w:val="000000" w:themeColor="text1"/>
        </w:rPr>
        <w:t xml:space="preserve">further </w:t>
      </w:r>
      <w:r w:rsidRPr="4118635F">
        <w:rPr>
          <w:rStyle w:val="normaltextrun"/>
          <w:color w:val="000000" w:themeColor="text1"/>
        </w:rPr>
        <w:t xml:space="preserve">amendment to be made to the legislation </w:t>
      </w:r>
      <w:r w:rsidR="3E2DE933" w:rsidRPr="4118635F">
        <w:rPr>
          <w:rStyle w:val="normaltextrun"/>
          <w:color w:val="000000" w:themeColor="text1"/>
        </w:rPr>
        <w:t xml:space="preserve">around the provision enabling candidates to submit electronic nominations. </w:t>
      </w:r>
      <w:r w:rsidR="09EF1D40" w:rsidRPr="4118635F">
        <w:rPr>
          <w:rStyle w:val="normaltextrun"/>
          <w:color w:val="000000" w:themeColor="text1"/>
        </w:rPr>
        <w:t>While w</w:t>
      </w:r>
      <w:r w:rsidR="6BB1A2CA" w:rsidRPr="4118635F">
        <w:rPr>
          <w:rStyle w:val="normaltextrun"/>
          <w:color w:val="000000" w:themeColor="text1"/>
        </w:rPr>
        <w:t xml:space="preserve">e welcome this </w:t>
      </w:r>
      <w:r w:rsidR="09EF1D40" w:rsidRPr="4118635F">
        <w:rPr>
          <w:rStyle w:val="normaltextrun"/>
          <w:color w:val="000000" w:themeColor="text1"/>
        </w:rPr>
        <w:t>as another</w:t>
      </w:r>
      <w:r w:rsidR="4EC274EB" w:rsidRPr="4118635F">
        <w:rPr>
          <w:rStyle w:val="normaltextrun"/>
          <w:color w:val="000000" w:themeColor="text1"/>
        </w:rPr>
        <w:t xml:space="preserve"> means</w:t>
      </w:r>
      <w:r w:rsidR="09EF1D40" w:rsidRPr="4118635F">
        <w:rPr>
          <w:rStyle w:val="normaltextrun"/>
          <w:color w:val="000000" w:themeColor="text1"/>
        </w:rPr>
        <w:t xml:space="preserve"> of making the electoral process</w:t>
      </w:r>
      <w:r w:rsidR="5F6DC386" w:rsidRPr="4118635F">
        <w:rPr>
          <w:rStyle w:val="normaltextrun"/>
          <w:color w:val="000000" w:themeColor="text1"/>
        </w:rPr>
        <w:t xml:space="preserve"> more</w:t>
      </w:r>
      <w:r w:rsidR="09EF1D40" w:rsidRPr="4118635F">
        <w:rPr>
          <w:rStyle w:val="normaltextrun"/>
          <w:color w:val="000000" w:themeColor="text1"/>
        </w:rPr>
        <w:t xml:space="preserve"> accessible to disabled people, we would like to see a</w:t>
      </w:r>
      <w:r w:rsidR="52C935B4" w:rsidRPr="4118635F">
        <w:rPr>
          <w:rStyle w:val="normaltextrun"/>
          <w:color w:val="000000" w:themeColor="text1"/>
        </w:rPr>
        <w:t xml:space="preserve"> further </w:t>
      </w:r>
      <w:r w:rsidR="09EF1D40" w:rsidRPr="4118635F">
        <w:rPr>
          <w:rStyle w:val="normaltextrun"/>
          <w:color w:val="000000" w:themeColor="text1"/>
        </w:rPr>
        <w:t>amendment made to</w:t>
      </w:r>
      <w:r w:rsidR="72395B56" w:rsidRPr="4118635F">
        <w:rPr>
          <w:rStyle w:val="normaltextrun"/>
          <w:color w:val="000000" w:themeColor="text1"/>
        </w:rPr>
        <w:t xml:space="preserve"> the Bill to</w:t>
      </w:r>
      <w:r w:rsidR="09EF1D40" w:rsidRPr="4118635F">
        <w:rPr>
          <w:rStyle w:val="normaltextrun"/>
          <w:color w:val="000000" w:themeColor="text1"/>
        </w:rPr>
        <w:t xml:space="preserve"> ensure that all electronic no</w:t>
      </w:r>
      <w:r w:rsidR="1C508C66" w:rsidRPr="4118635F">
        <w:rPr>
          <w:rStyle w:val="normaltextrun"/>
          <w:color w:val="000000" w:themeColor="text1"/>
        </w:rPr>
        <w:t>mination forms are made available in accessible formats including</w:t>
      </w:r>
      <w:r w:rsidR="7F261D6D" w:rsidRPr="4118635F">
        <w:rPr>
          <w:rStyle w:val="normaltextrun"/>
          <w:color w:val="000000" w:themeColor="text1"/>
        </w:rPr>
        <w:t xml:space="preserve"> Easy Read, NZ Sign Language,</w:t>
      </w:r>
      <w:r w:rsidR="1C508C66" w:rsidRPr="4118635F">
        <w:rPr>
          <w:rStyle w:val="normaltextrun"/>
          <w:color w:val="000000" w:themeColor="text1"/>
        </w:rPr>
        <w:t xml:space="preserve"> Word, Braille</w:t>
      </w:r>
      <w:r w:rsidR="4EB7AE03" w:rsidRPr="4118635F">
        <w:rPr>
          <w:rStyle w:val="normaltextrun"/>
          <w:color w:val="000000" w:themeColor="text1"/>
        </w:rPr>
        <w:t xml:space="preserve">, Large </w:t>
      </w:r>
      <w:proofErr w:type="gramStart"/>
      <w:r w:rsidR="4EB7AE03" w:rsidRPr="4118635F">
        <w:rPr>
          <w:rStyle w:val="normaltextrun"/>
          <w:color w:val="000000" w:themeColor="text1"/>
        </w:rPr>
        <w:t>Print</w:t>
      </w:r>
      <w:proofErr w:type="gramEnd"/>
      <w:r w:rsidR="1C508C66" w:rsidRPr="4118635F">
        <w:rPr>
          <w:rStyle w:val="normaltextrun"/>
          <w:color w:val="000000" w:themeColor="text1"/>
        </w:rPr>
        <w:t xml:space="preserve"> and audio to enable blind and low vision people</w:t>
      </w:r>
      <w:r w:rsidR="036A4610" w:rsidRPr="4118635F">
        <w:rPr>
          <w:rStyle w:val="normaltextrun"/>
          <w:color w:val="000000" w:themeColor="text1"/>
        </w:rPr>
        <w:t xml:space="preserve"> the</w:t>
      </w:r>
      <w:r w:rsidR="6124380B" w:rsidRPr="4118635F">
        <w:rPr>
          <w:rStyle w:val="normaltextrun"/>
          <w:color w:val="000000" w:themeColor="text1"/>
        </w:rPr>
        <w:t xml:space="preserve"> ability to easily file nominations.</w:t>
      </w:r>
      <w:r w:rsidR="0D686948" w:rsidRPr="4118635F">
        <w:rPr>
          <w:rStyle w:val="normaltextrun"/>
          <w:color w:val="000000" w:themeColor="text1"/>
        </w:rPr>
        <w:t xml:space="preserve"> </w:t>
      </w:r>
    </w:p>
    <w:p w14:paraId="5195B3C5" w14:textId="071C4566" w:rsidR="6059B3D8" w:rsidRDefault="0D686948" w:rsidP="4118635F">
      <w:pPr>
        <w:rPr>
          <w:rStyle w:val="normaltextrun"/>
          <w:color w:val="000000" w:themeColor="text1"/>
        </w:rPr>
      </w:pPr>
      <w:r w:rsidRPr="4118635F">
        <w:rPr>
          <w:rStyle w:val="normaltextrun"/>
          <w:color w:val="000000" w:themeColor="text1"/>
        </w:rPr>
        <w:t xml:space="preserve">DPA </w:t>
      </w:r>
      <w:r w:rsidR="43257658" w:rsidRPr="4118635F">
        <w:rPr>
          <w:rStyle w:val="normaltextrun"/>
          <w:color w:val="000000" w:themeColor="text1"/>
        </w:rPr>
        <w:t>notes</w:t>
      </w:r>
      <w:r w:rsidRPr="4118635F">
        <w:rPr>
          <w:rStyle w:val="normaltextrun"/>
          <w:color w:val="000000" w:themeColor="text1"/>
        </w:rPr>
        <w:t xml:space="preserve"> that </w:t>
      </w:r>
      <w:r w:rsidR="31330F61" w:rsidRPr="4118635F">
        <w:rPr>
          <w:rStyle w:val="normaltextrun"/>
          <w:color w:val="000000" w:themeColor="text1"/>
        </w:rPr>
        <w:t xml:space="preserve">many </w:t>
      </w:r>
      <w:r w:rsidRPr="4118635F">
        <w:rPr>
          <w:rStyle w:val="normaltextrun"/>
          <w:color w:val="000000" w:themeColor="text1"/>
        </w:rPr>
        <w:t xml:space="preserve">PDF formatted files cannot be easily read by screen reading software used by </w:t>
      </w:r>
      <w:r w:rsidR="1E0E7DD4" w:rsidRPr="4118635F">
        <w:rPr>
          <w:rStyle w:val="normaltextrun"/>
          <w:color w:val="000000" w:themeColor="text1"/>
        </w:rPr>
        <w:t xml:space="preserve">blind and low vision people as well as people with other </w:t>
      </w:r>
      <w:proofErr w:type="gramStart"/>
      <w:r w:rsidR="1E0E7DD4" w:rsidRPr="4118635F">
        <w:rPr>
          <w:rStyle w:val="normaltextrun"/>
          <w:color w:val="000000" w:themeColor="text1"/>
        </w:rPr>
        <w:t>impairments</w:t>
      </w:r>
      <w:r w:rsidR="3E604E1E" w:rsidRPr="4118635F">
        <w:rPr>
          <w:rStyle w:val="normaltextrun"/>
          <w:color w:val="000000" w:themeColor="text1"/>
        </w:rPr>
        <w:t>.</w:t>
      </w:r>
      <w:r w:rsidRPr="4118635F">
        <w:rPr>
          <w:rStyle w:val="normaltextrun"/>
          <w:color w:val="000000" w:themeColor="text1"/>
        </w:rPr>
        <w:t>.</w:t>
      </w:r>
      <w:proofErr w:type="gramEnd"/>
      <w:r w:rsidRPr="4118635F">
        <w:rPr>
          <w:rStyle w:val="normaltextrun"/>
          <w:color w:val="000000" w:themeColor="text1"/>
        </w:rPr>
        <w:t xml:space="preserve"> </w:t>
      </w:r>
    </w:p>
    <w:p w14:paraId="441CF4BB" w14:textId="2D7DBC67" w:rsidR="6B9595F8" w:rsidRDefault="28DE7F55" w:rsidP="4118635F">
      <w:pPr>
        <w:rPr>
          <w:rStyle w:val="normaltextrun"/>
          <w:color w:val="000000" w:themeColor="text1"/>
        </w:rPr>
      </w:pPr>
      <w:r w:rsidRPr="4118635F">
        <w:rPr>
          <w:rStyle w:val="normaltextrun"/>
          <w:color w:val="000000" w:themeColor="text1"/>
        </w:rPr>
        <w:t>DPA would like to make two further recommendations for inclusion in future local government electoral legislation.</w:t>
      </w:r>
    </w:p>
    <w:p w14:paraId="50FFC82A" w14:textId="666E357E" w:rsidR="219AB0ED" w:rsidRDefault="219AB0ED" w:rsidP="419A6225">
      <w:pPr>
        <w:rPr>
          <w:rStyle w:val="normaltextrun"/>
          <w:color w:val="000000" w:themeColor="text1"/>
          <w:szCs w:val="24"/>
        </w:rPr>
      </w:pPr>
      <w:r w:rsidRPr="419A6225">
        <w:rPr>
          <w:rStyle w:val="normaltextrun"/>
          <w:color w:val="000000" w:themeColor="text1"/>
          <w:szCs w:val="24"/>
        </w:rPr>
        <w:t>The first is that the administration and oversight of all local government elections</w:t>
      </w:r>
      <w:r w:rsidR="4B6C3AB3" w:rsidRPr="419A6225">
        <w:rPr>
          <w:rStyle w:val="normaltextrun"/>
          <w:color w:val="000000" w:themeColor="text1"/>
          <w:szCs w:val="24"/>
        </w:rPr>
        <w:t xml:space="preserve"> should be transferred to the Electoral Commission from being under the jurisdiction of local councils as they are at present. </w:t>
      </w:r>
    </w:p>
    <w:p w14:paraId="5D5B65F4" w14:textId="51D84F3C" w:rsidR="219AB0ED" w:rsidRDefault="4B6C3AB3" w:rsidP="419A6225">
      <w:pPr>
        <w:rPr>
          <w:rStyle w:val="normaltextrun"/>
          <w:color w:val="000000" w:themeColor="text1"/>
          <w:szCs w:val="24"/>
        </w:rPr>
      </w:pPr>
      <w:r w:rsidRPr="419A6225">
        <w:rPr>
          <w:rStyle w:val="normaltextrun"/>
          <w:color w:val="000000" w:themeColor="text1"/>
          <w:szCs w:val="24"/>
        </w:rPr>
        <w:lastRenderedPageBreak/>
        <w:t xml:space="preserve">DPA believes this is important given that the Electoral Commission has undertaken initiatives in partnership with the </w:t>
      </w:r>
      <w:r w:rsidR="1C3C7ECD" w:rsidRPr="419A6225">
        <w:rPr>
          <w:rStyle w:val="normaltextrun"/>
          <w:color w:val="000000" w:themeColor="text1"/>
          <w:szCs w:val="24"/>
        </w:rPr>
        <w:t xml:space="preserve">disability community to make participation in parliamentary elections </w:t>
      </w:r>
      <w:r w:rsidR="713C3050" w:rsidRPr="419A6225">
        <w:rPr>
          <w:rStyle w:val="normaltextrun"/>
          <w:color w:val="000000" w:themeColor="text1"/>
          <w:szCs w:val="24"/>
        </w:rPr>
        <w:t>more</w:t>
      </w:r>
      <w:r w:rsidR="1C3C7ECD" w:rsidRPr="419A6225">
        <w:rPr>
          <w:rStyle w:val="normaltextrun"/>
          <w:color w:val="000000" w:themeColor="text1"/>
          <w:szCs w:val="24"/>
        </w:rPr>
        <w:t xml:space="preserve"> accessible for disabled people. Current</w:t>
      </w:r>
      <w:r w:rsidR="23EEDB5B" w:rsidRPr="419A6225">
        <w:rPr>
          <w:rStyle w:val="normaltextrun"/>
          <w:color w:val="000000" w:themeColor="text1"/>
          <w:szCs w:val="24"/>
        </w:rPr>
        <w:t>ly, an example of this is that</w:t>
      </w:r>
      <w:r w:rsidR="1C3C7ECD" w:rsidRPr="419A6225">
        <w:rPr>
          <w:rStyle w:val="normaltextrun"/>
          <w:color w:val="000000" w:themeColor="text1"/>
          <w:szCs w:val="24"/>
        </w:rPr>
        <w:t xml:space="preserve"> telephone voting is </w:t>
      </w:r>
      <w:r w:rsidR="1B3B4AE7" w:rsidRPr="419A6225">
        <w:rPr>
          <w:rStyle w:val="normaltextrun"/>
          <w:color w:val="000000" w:themeColor="text1"/>
          <w:szCs w:val="24"/>
        </w:rPr>
        <w:t>available for parliamentary general elections but not local government elections. Th</w:t>
      </w:r>
      <w:r w:rsidR="15242577" w:rsidRPr="419A6225">
        <w:rPr>
          <w:rStyle w:val="normaltextrun"/>
          <w:color w:val="000000" w:themeColor="text1"/>
          <w:szCs w:val="24"/>
        </w:rPr>
        <w:t>e inconsistency of having accessible voting provisions available for only one set of elections and not another is the main reason wh</w:t>
      </w:r>
      <w:r w:rsidR="1B3B4AE7" w:rsidRPr="419A6225">
        <w:rPr>
          <w:rStyle w:val="normaltextrun"/>
          <w:color w:val="000000" w:themeColor="text1"/>
          <w:szCs w:val="24"/>
        </w:rPr>
        <w:t>y future changes to local government electoral legislation and to the structure of l</w:t>
      </w:r>
      <w:r w:rsidR="514065DB" w:rsidRPr="419A6225">
        <w:rPr>
          <w:rStyle w:val="normaltextrun"/>
          <w:color w:val="000000" w:themeColor="text1"/>
          <w:szCs w:val="24"/>
        </w:rPr>
        <w:t>ocal government (which are likely following the publication of the Local Government Review’s findings next year) should make the Electoral C</w:t>
      </w:r>
      <w:r w:rsidR="6697F368" w:rsidRPr="419A6225">
        <w:rPr>
          <w:rStyle w:val="normaltextrun"/>
          <w:color w:val="000000" w:themeColor="text1"/>
          <w:szCs w:val="24"/>
        </w:rPr>
        <w:t xml:space="preserve">ommission fully responsible for the conduct of both </w:t>
      </w:r>
      <w:r w:rsidR="5F10D168" w:rsidRPr="419A6225">
        <w:rPr>
          <w:rStyle w:val="normaltextrun"/>
          <w:color w:val="000000" w:themeColor="text1"/>
          <w:szCs w:val="24"/>
        </w:rPr>
        <w:t>sets of</w:t>
      </w:r>
      <w:r w:rsidR="6697F368" w:rsidRPr="419A6225">
        <w:rPr>
          <w:rStyle w:val="normaltextrun"/>
          <w:color w:val="000000" w:themeColor="text1"/>
          <w:szCs w:val="24"/>
        </w:rPr>
        <w:t xml:space="preserve"> elections.</w:t>
      </w:r>
    </w:p>
    <w:p w14:paraId="10A37F9D" w14:textId="12A6A54E" w:rsidR="219AB0ED" w:rsidRDefault="6697F368" w:rsidP="0A209B25">
      <w:pPr>
        <w:rPr>
          <w:rStyle w:val="normaltextrun"/>
          <w:color w:val="000000" w:themeColor="text1"/>
          <w:szCs w:val="24"/>
        </w:rPr>
      </w:pPr>
      <w:r w:rsidRPr="419A6225">
        <w:rPr>
          <w:rStyle w:val="normaltextrun"/>
          <w:color w:val="000000" w:themeColor="text1"/>
          <w:szCs w:val="24"/>
        </w:rPr>
        <w:t xml:space="preserve"> </w:t>
      </w:r>
      <w:r w:rsidR="3B3B7AB2" w:rsidRPr="419A6225">
        <w:rPr>
          <w:rStyle w:val="normaltextrun"/>
          <w:color w:val="000000" w:themeColor="text1"/>
          <w:szCs w:val="24"/>
        </w:rPr>
        <w:t>Undertaking this move</w:t>
      </w:r>
      <w:r w:rsidRPr="419A6225">
        <w:rPr>
          <w:rStyle w:val="normaltextrun"/>
          <w:color w:val="000000" w:themeColor="text1"/>
          <w:szCs w:val="24"/>
        </w:rPr>
        <w:t xml:space="preserve"> would enable electoral practises, including those</w:t>
      </w:r>
      <w:r w:rsidR="7A13BB8D" w:rsidRPr="419A6225">
        <w:rPr>
          <w:rStyle w:val="normaltextrun"/>
          <w:color w:val="000000" w:themeColor="text1"/>
          <w:szCs w:val="24"/>
        </w:rPr>
        <w:t xml:space="preserve"> facilitating</w:t>
      </w:r>
      <w:r w:rsidRPr="419A6225">
        <w:rPr>
          <w:rStyle w:val="normaltextrun"/>
          <w:color w:val="000000" w:themeColor="text1"/>
          <w:szCs w:val="24"/>
        </w:rPr>
        <w:t xml:space="preserve"> the accessibility of voting to disabled people, to become standardised thereby giving</w:t>
      </w:r>
      <w:r w:rsidR="2DA7E1A9" w:rsidRPr="419A6225">
        <w:rPr>
          <w:rStyle w:val="normaltextrun"/>
          <w:color w:val="000000" w:themeColor="text1"/>
          <w:szCs w:val="24"/>
        </w:rPr>
        <w:t xml:space="preserve"> full</w:t>
      </w:r>
      <w:r w:rsidRPr="419A6225">
        <w:rPr>
          <w:rStyle w:val="normaltextrun"/>
          <w:color w:val="000000" w:themeColor="text1"/>
          <w:szCs w:val="24"/>
        </w:rPr>
        <w:t xml:space="preserve"> effect to our UNCRPD obligations in this regard</w:t>
      </w:r>
      <w:r w:rsidR="523360A7" w:rsidRPr="419A6225">
        <w:rPr>
          <w:rStyle w:val="normaltextrun"/>
          <w:color w:val="000000" w:themeColor="text1"/>
          <w:szCs w:val="24"/>
        </w:rPr>
        <w:t>.</w:t>
      </w:r>
    </w:p>
    <w:p w14:paraId="525FC7DD" w14:textId="1AE1B37D" w:rsidR="523360A7" w:rsidRDefault="523360A7" w:rsidP="419A6225">
      <w:pPr>
        <w:rPr>
          <w:rStyle w:val="normaltextrun"/>
          <w:color w:val="000000" w:themeColor="text1"/>
          <w:szCs w:val="24"/>
        </w:rPr>
      </w:pPr>
      <w:r w:rsidRPr="419A6225">
        <w:rPr>
          <w:rStyle w:val="normaltextrun"/>
          <w:color w:val="000000" w:themeColor="text1"/>
          <w:szCs w:val="24"/>
        </w:rPr>
        <w:t xml:space="preserve">The second is that DPA </w:t>
      </w:r>
      <w:r w:rsidR="74DF7848" w:rsidRPr="419A6225">
        <w:rPr>
          <w:rStyle w:val="normaltextrun"/>
          <w:color w:val="000000" w:themeColor="text1"/>
          <w:szCs w:val="24"/>
        </w:rPr>
        <w:t xml:space="preserve">supports </w:t>
      </w:r>
      <w:r w:rsidRPr="419A6225">
        <w:rPr>
          <w:rStyle w:val="normaltextrun"/>
          <w:color w:val="000000" w:themeColor="text1"/>
          <w:szCs w:val="24"/>
        </w:rPr>
        <w:t>the</w:t>
      </w:r>
      <w:r w:rsidR="25BBDCFB" w:rsidRPr="419A6225">
        <w:rPr>
          <w:rStyle w:val="normaltextrun"/>
          <w:color w:val="000000" w:themeColor="text1"/>
          <w:szCs w:val="24"/>
        </w:rPr>
        <w:t xml:space="preserve"> abolition of</w:t>
      </w:r>
      <w:r w:rsidR="3D213B80" w:rsidRPr="419A6225">
        <w:rPr>
          <w:rStyle w:val="normaltextrun"/>
          <w:color w:val="000000" w:themeColor="text1"/>
          <w:szCs w:val="24"/>
        </w:rPr>
        <w:t xml:space="preserve"> the Ratepayer Roll for local government elections</w:t>
      </w:r>
      <w:r w:rsidR="6CB87118" w:rsidRPr="419A6225">
        <w:rPr>
          <w:rStyle w:val="normaltextrun"/>
          <w:color w:val="000000" w:themeColor="text1"/>
          <w:szCs w:val="24"/>
        </w:rPr>
        <w:t xml:space="preserve"> as called for by Renters United</w:t>
      </w:r>
      <w:r w:rsidR="3D213B80" w:rsidRPr="419A6225">
        <w:rPr>
          <w:rStyle w:val="normaltextrun"/>
          <w:color w:val="000000" w:themeColor="text1"/>
          <w:szCs w:val="24"/>
        </w:rPr>
        <w:t>. From a disability perspective, disabled people are more likely to rent than non-disabled people</w:t>
      </w:r>
      <w:r w:rsidR="4FD0CC8A" w:rsidRPr="419A6225">
        <w:rPr>
          <w:rStyle w:val="normaltextrun"/>
          <w:color w:val="000000" w:themeColor="text1"/>
          <w:szCs w:val="24"/>
        </w:rPr>
        <w:t xml:space="preserve">. </w:t>
      </w:r>
      <w:r w:rsidR="7303D077" w:rsidRPr="419A6225">
        <w:rPr>
          <w:rStyle w:val="normaltextrun"/>
          <w:color w:val="000000" w:themeColor="text1"/>
          <w:szCs w:val="24"/>
        </w:rPr>
        <w:t>G</w:t>
      </w:r>
      <w:r w:rsidR="4FD0CC8A" w:rsidRPr="419A6225">
        <w:rPr>
          <w:rStyle w:val="normaltextrun"/>
          <w:color w:val="000000" w:themeColor="text1"/>
          <w:szCs w:val="24"/>
        </w:rPr>
        <w:t xml:space="preserve">iven that disabled people (alongside everyone else) have had the ability to vote in local government elections </w:t>
      </w:r>
      <w:r w:rsidR="5C61A487" w:rsidRPr="419A6225">
        <w:rPr>
          <w:rStyle w:val="normaltextrun"/>
          <w:color w:val="000000" w:themeColor="text1"/>
          <w:szCs w:val="24"/>
        </w:rPr>
        <w:t>since the end of the ratepayer</w:t>
      </w:r>
      <w:r w:rsidR="17A61F53" w:rsidRPr="419A6225">
        <w:rPr>
          <w:rStyle w:val="normaltextrun"/>
          <w:color w:val="000000" w:themeColor="text1"/>
          <w:szCs w:val="24"/>
        </w:rPr>
        <w:t>-</w:t>
      </w:r>
      <w:r w:rsidR="5C61A487" w:rsidRPr="419A6225">
        <w:rPr>
          <w:rStyle w:val="normaltextrun"/>
          <w:color w:val="000000" w:themeColor="text1"/>
          <w:szCs w:val="24"/>
        </w:rPr>
        <w:t xml:space="preserve">only franchise in 1989, this presents an unfair advantage for landlords whose voice is given greater </w:t>
      </w:r>
      <w:r w:rsidR="57C298C1" w:rsidRPr="419A6225">
        <w:rPr>
          <w:rStyle w:val="normaltextrun"/>
          <w:color w:val="000000" w:themeColor="text1"/>
          <w:szCs w:val="24"/>
        </w:rPr>
        <w:t>weight</w:t>
      </w:r>
      <w:r w:rsidR="5C61A487" w:rsidRPr="419A6225">
        <w:rPr>
          <w:rStyle w:val="normaltextrun"/>
          <w:color w:val="000000" w:themeColor="text1"/>
          <w:szCs w:val="24"/>
        </w:rPr>
        <w:t xml:space="preserve"> in local elections than it is in national elections. </w:t>
      </w:r>
    </w:p>
    <w:p w14:paraId="729CCA2A" w14:textId="76FFD66C" w:rsidR="523360A7" w:rsidRDefault="1266BF7C" w:rsidP="0A209B25">
      <w:pPr>
        <w:rPr>
          <w:rStyle w:val="normaltextrun"/>
          <w:color w:val="000000" w:themeColor="text1"/>
          <w:szCs w:val="24"/>
        </w:rPr>
      </w:pPr>
      <w:r w:rsidRPr="419A6225">
        <w:rPr>
          <w:rStyle w:val="normaltextrun"/>
          <w:color w:val="000000" w:themeColor="text1"/>
          <w:szCs w:val="24"/>
        </w:rPr>
        <w:t xml:space="preserve">The abolition of this provision would be one way in which the voices of ordinary tenants, including disabled people, could be better heard on housing issues </w:t>
      </w:r>
      <w:r w:rsidR="007A51F2" w:rsidRPr="419A6225">
        <w:rPr>
          <w:rStyle w:val="normaltextrun"/>
          <w:color w:val="000000" w:themeColor="text1"/>
          <w:szCs w:val="24"/>
        </w:rPr>
        <w:t>at the local government level and, moreover, at a time when the lack of accessible</w:t>
      </w:r>
      <w:r w:rsidR="0CD1E31B" w:rsidRPr="419A6225">
        <w:rPr>
          <w:rStyle w:val="normaltextrun"/>
          <w:color w:val="000000" w:themeColor="text1"/>
          <w:szCs w:val="24"/>
        </w:rPr>
        <w:t xml:space="preserve"> and affordable</w:t>
      </w:r>
      <w:r w:rsidR="007A51F2" w:rsidRPr="419A6225">
        <w:rPr>
          <w:rStyle w:val="normaltextrun"/>
          <w:color w:val="000000" w:themeColor="text1"/>
          <w:szCs w:val="24"/>
        </w:rPr>
        <w:t xml:space="preserve"> housing </w:t>
      </w:r>
      <w:r w:rsidR="2B421F45" w:rsidRPr="419A6225">
        <w:rPr>
          <w:rStyle w:val="normaltextrun"/>
          <w:color w:val="000000" w:themeColor="text1"/>
          <w:szCs w:val="24"/>
        </w:rPr>
        <w:t>are real issues for our community.</w:t>
      </w:r>
    </w:p>
    <w:p w14:paraId="3D5B5AAC" w14:textId="42C25105" w:rsidR="003E3C38" w:rsidRDefault="003E3C38" w:rsidP="004D53A5">
      <w:pPr>
        <w:pStyle w:val="Heading1"/>
      </w:pPr>
      <w:r>
        <w:t>DPA’s recommendations</w:t>
      </w:r>
    </w:p>
    <w:p w14:paraId="74B24642" w14:textId="629BE7FD" w:rsidR="003E3C38" w:rsidRDefault="004D53A5" w:rsidP="003E3C38">
      <w:pPr>
        <w:rPr>
          <w:rFonts w:cs="Arial"/>
        </w:rPr>
      </w:pPr>
      <w:r w:rsidRPr="0A209B25">
        <w:rPr>
          <w:rFonts w:cs="Arial"/>
        </w:rPr>
        <w:t>The Disabled Person’s Assembly recommends</w:t>
      </w:r>
      <w:r w:rsidR="00193F86" w:rsidRPr="0A209B25">
        <w:rPr>
          <w:rFonts w:cs="Arial"/>
        </w:rPr>
        <w:t>:</w:t>
      </w:r>
    </w:p>
    <w:p w14:paraId="39D993F3" w14:textId="7C434FDC" w:rsidR="0A209B25" w:rsidRDefault="00496A4F" w:rsidP="419A6225">
      <w:pPr>
        <w:pStyle w:val="ListParagraph"/>
        <w:numPr>
          <w:ilvl w:val="0"/>
          <w:numId w:val="18"/>
        </w:numPr>
        <w:rPr>
          <w:rStyle w:val="normaltextrun"/>
          <w:rFonts w:asciiTheme="minorHAnsi" w:hAnsiTheme="minorHAnsi"/>
          <w:b/>
          <w:bCs/>
          <w:color w:val="000000" w:themeColor="text1"/>
          <w:szCs w:val="24"/>
        </w:rPr>
      </w:pPr>
      <w:r w:rsidRPr="419A6225">
        <w:rPr>
          <w:rFonts w:cs="Arial"/>
          <w:b/>
          <w:bCs/>
        </w:rPr>
        <w:t>Recommendation</w:t>
      </w:r>
      <w:r w:rsidR="255FBB03" w:rsidRPr="419A6225">
        <w:rPr>
          <w:rFonts w:cs="Arial"/>
          <w:b/>
          <w:bCs/>
        </w:rPr>
        <w:t xml:space="preserve"> 1:</w:t>
      </w:r>
      <w:r w:rsidR="0278F9C3" w:rsidRPr="419A6225">
        <w:rPr>
          <w:rFonts w:cs="Arial"/>
          <w:b/>
          <w:bCs/>
        </w:rPr>
        <w:t xml:space="preserve"> </w:t>
      </w:r>
      <w:r w:rsidR="0278F9C3" w:rsidRPr="419A6225">
        <w:rPr>
          <w:rFonts w:cs="Arial"/>
        </w:rPr>
        <w:t xml:space="preserve">That a </w:t>
      </w:r>
      <w:r w:rsidR="5C7BDD0B" w:rsidRPr="419A6225">
        <w:rPr>
          <w:rFonts w:cs="Arial"/>
        </w:rPr>
        <w:t xml:space="preserve">further </w:t>
      </w:r>
      <w:r w:rsidR="0278F9C3" w:rsidRPr="419A6225">
        <w:rPr>
          <w:rStyle w:val="normaltextrun"/>
          <w:color w:val="000000" w:themeColor="text1"/>
          <w:szCs w:val="24"/>
        </w:rPr>
        <w:t>amendment to be made to the legislation around the provision enabling candidates to submit electronic nominations</w:t>
      </w:r>
      <w:r w:rsidR="45AFBC62" w:rsidRPr="419A6225">
        <w:rPr>
          <w:rStyle w:val="normaltextrun"/>
          <w:color w:val="000000" w:themeColor="text1"/>
          <w:szCs w:val="24"/>
        </w:rPr>
        <w:t>, t</w:t>
      </w:r>
      <w:r w:rsidR="374AA95E" w:rsidRPr="419A6225">
        <w:rPr>
          <w:rStyle w:val="normaltextrun"/>
          <w:color w:val="000000" w:themeColor="text1"/>
          <w:szCs w:val="24"/>
        </w:rPr>
        <w:t>o</w:t>
      </w:r>
      <w:r w:rsidR="0278F9C3" w:rsidRPr="419A6225">
        <w:rPr>
          <w:rStyle w:val="normaltextrun"/>
          <w:color w:val="000000" w:themeColor="text1"/>
          <w:szCs w:val="24"/>
        </w:rPr>
        <w:t xml:space="preserve"> </w:t>
      </w:r>
      <w:r w:rsidR="0278F9C3" w:rsidRPr="419A6225">
        <w:rPr>
          <w:rStyle w:val="normaltextrun"/>
          <w:color w:val="000000" w:themeColor="text1"/>
          <w:szCs w:val="24"/>
        </w:rPr>
        <w:lastRenderedPageBreak/>
        <w:t xml:space="preserve">ensure that all electronic nomination forms are made available in accessible formats to enable blind and low vision </w:t>
      </w:r>
      <w:r w:rsidR="293DB48E" w:rsidRPr="419A6225">
        <w:rPr>
          <w:rStyle w:val="normaltextrun"/>
          <w:color w:val="000000" w:themeColor="text1"/>
          <w:szCs w:val="24"/>
        </w:rPr>
        <w:t>people to</w:t>
      </w:r>
      <w:r w:rsidR="0278F9C3" w:rsidRPr="419A6225">
        <w:rPr>
          <w:rStyle w:val="normaltextrun"/>
          <w:color w:val="000000" w:themeColor="text1"/>
          <w:szCs w:val="24"/>
        </w:rPr>
        <w:t xml:space="preserve"> easily file nominations. </w:t>
      </w:r>
    </w:p>
    <w:p w14:paraId="35D968BC" w14:textId="6A417553" w:rsidR="0A209B25" w:rsidRDefault="1FEBF490" w:rsidP="4118635F">
      <w:pPr>
        <w:pStyle w:val="ListParagraph"/>
        <w:numPr>
          <w:ilvl w:val="0"/>
          <w:numId w:val="18"/>
        </w:numPr>
        <w:rPr>
          <w:rStyle w:val="normaltextrun"/>
          <w:rFonts w:asciiTheme="minorHAnsi" w:hAnsiTheme="minorHAnsi"/>
          <w:b/>
          <w:bCs/>
          <w:color w:val="000000" w:themeColor="text1"/>
        </w:rPr>
      </w:pPr>
      <w:r w:rsidRPr="4118635F">
        <w:rPr>
          <w:rFonts w:cs="Arial"/>
          <w:b/>
          <w:bCs/>
        </w:rPr>
        <w:t>Recommendation</w:t>
      </w:r>
      <w:r w:rsidR="128EC346" w:rsidRPr="4118635F">
        <w:rPr>
          <w:rFonts w:cs="Arial"/>
          <w:b/>
          <w:bCs/>
        </w:rPr>
        <w:t xml:space="preserve"> 2:</w:t>
      </w:r>
      <w:r w:rsidR="28D4908D" w:rsidRPr="4118635F">
        <w:rPr>
          <w:rFonts w:cs="Arial"/>
          <w:b/>
          <w:bCs/>
        </w:rPr>
        <w:t xml:space="preserve"> </w:t>
      </w:r>
      <w:r w:rsidR="4B1225C9" w:rsidRPr="4118635F">
        <w:rPr>
          <w:rFonts w:cs="Arial"/>
        </w:rPr>
        <w:t>That</w:t>
      </w:r>
      <w:r w:rsidR="4B1225C9" w:rsidRPr="4118635F">
        <w:rPr>
          <w:rStyle w:val="normaltextrun"/>
          <w:color w:val="000000" w:themeColor="text1"/>
        </w:rPr>
        <w:t xml:space="preserve"> the administration and oversight of all local government elections should be transferred to the Electoral Commission from being under the jurisdiction of local councils as they are at present. </w:t>
      </w:r>
    </w:p>
    <w:p w14:paraId="563B3C41" w14:textId="47351C48" w:rsidR="0A209B25" w:rsidRDefault="1FEBF490" w:rsidP="4118635F">
      <w:pPr>
        <w:pStyle w:val="ListParagraph"/>
        <w:numPr>
          <w:ilvl w:val="0"/>
          <w:numId w:val="18"/>
        </w:numPr>
        <w:rPr>
          <w:rStyle w:val="normaltextrun"/>
          <w:b/>
          <w:bCs/>
          <w:color w:val="000000" w:themeColor="text1"/>
        </w:rPr>
      </w:pPr>
      <w:r w:rsidRPr="4118635F">
        <w:rPr>
          <w:rFonts w:cs="Arial"/>
          <w:b/>
          <w:bCs/>
        </w:rPr>
        <w:t>Recommendation</w:t>
      </w:r>
      <w:r w:rsidR="0CEC0016" w:rsidRPr="4118635F">
        <w:rPr>
          <w:rFonts w:cs="Arial"/>
          <w:b/>
          <w:bCs/>
        </w:rPr>
        <w:t xml:space="preserve"> 3:</w:t>
      </w:r>
      <w:r w:rsidR="77A4BB55" w:rsidRPr="4118635F">
        <w:rPr>
          <w:rFonts w:cs="Arial"/>
          <w:b/>
          <w:bCs/>
        </w:rPr>
        <w:t xml:space="preserve"> </w:t>
      </w:r>
      <w:r w:rsidR="5E73D1FA" w:rsidRPr="4118635F">
        <w:rPr>
          <w:rStyle w:val="normaltextrun"/>
          <w:color w:val="000000" w:themeColor="text1"/>
        </w:rPr>
        <w:t xml:space="preserve">Note that </w:t>
      </w:r>
      <w:r w:rsidR="77A4BB55" w:rsidRPr="4118635F">
        <w:rPr>
          <w:rStyle w:val="normaltextrun"/>
          <w:color w:val="000000" w:themeColor="text1"/>
        </w:rPr>
        <w:t xml:space="preserve">DPA </w:t>
      </w:r>
      <w:r w:rsidR="7D9CB783" w:rsidRPr="4118635F">
        <w:rPr>
          <w:rStyle w:val="normaltextrun"/>
          <w:color w:val="000000" w:themeColor="text1"/>
        </w:rPr>
        <w:t xml:space="preserve">supports </w:t>
      </w:r>
      <w:r w:rsidR="77A4BB55" w:rsidRPr="4118635F">
        <w:rPr>
          <w:rStyle w:val="normaltextrun"/>
          <w:color w:val="000000" w:themeColor="text1"/>
        </w:rPr>
        <w:t xml:space="preserve">the abolition of the Ratepayer Roll for local government elections as called for by Renters United. </w:t>
      </w:r>
    </w:p>
    <w:p w14:paraId="4B93C600" w14:textId="77777777" w:rsidR="00F90077" w:rsidRPr="00F90077" w:rsidRDefault="00F90077" w:rsidP="003E3C38">
      <w:pPr>
        <w:rPr>
          <w:rFonts w:cs="Arial"/>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5610" w14:textId="77777777" w:rsidR="000055E1" w:rsidRDefault="000055E1" w:rsidP="00634AEC">
      <w:pPr>
        <w:spacing w:after="0" w:line="240" w:lineRule="auto"/>
      </w:pPr>
      <w:r>
        <w:separator/>
      </w:r>
    </w:p>
  </w:endnote>
  <w:endnote w:type="continuationSeparator" w:id="0">
    <w:p w14:paraId="70C3D373" w14:textId="77777777" w:rsidR="000055E1" w:rsidRDefault="000055E1" w:rsidP="00634AEC">
      <w:pPr>
        <w:spacing w:after="0" w:line="240" w:lineRule="auto"/>
      </w:pPr>
      <w:r>
        <w:continuationSeparator/>
      </w:r>
    </w:p>
  </w:endnote>
  <w:endnote w:type="continuationNotice" w:id="1">
    <w:p w14:paraId="7B972794" w14:textId="77777777" w:rsidR="000055E1" w:rsidRDefault="00005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F71F" w14:textId="77777777" w:rsidR="000055E1" w:rsidRDefault="000055E1" w:rsidP="00634AEC">
      <w:pPr>
        <w:spacing w:after="0" w:line="240" w:lineRule="auto"/>
      </w:pPr>
      <w:r>
        <w:separator/>
      </w:r>
    </w:p>
  </w:footnote>
  <w:footnote w:type="continuationSeparator" w:id="0">
    <w:p w14:paraId="2584E422" w14:textId="77777777" w:rsidR="000055E1" w:rsidRDefault="000055E1" w:rsidP="00634AEC">
      <w:pPr>
        <w:spacing w:after="0" w:line="240" w:lineRule="auto"/>
      </w:pPr>
      <w:r>
        <w:continuationSeparator/>
      </w:r>
    </w:p>
  </w:footnote>
  <w:footnote w:type="continuationNotice" w:id="1">
    <w:p w14:paraId="43F74819" w14:textId="77777777" w:rsidR="000055E1" w:rsidRDefault="000055E1">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64E2183B"/>
    <w:multiLevelType w:val="hybridMultilevel"/>
    <w:tmpl w:val="4A704038"/>
    <w:lvl w:ilvl="0" w:tplc="FB5ED868">
      <w:start w:val="1"/>
      <w:numFmt w:val="decimal"/>
      <w:lvlText w:val="%1."/>
      <w:lvlJc w:val="left"/>
      <w:pPr>
        <w:ind w:left="720" w:hanging="360"/>
      </w:pPr>
    </w:lvl>
    <w:lvl w:ilvl="1" w:tplc="C438218C">
      <w:start w:val="1"/>
      <w:numFmt w:val="lowerRoman"/>
      <w:lvlText w:val="%2."/>
      <w:lvlJc w:val="left"/>
      <w:pPr>
        <w:ind w:left="1440" w:hanging="360"/>
      </w:pPr>
    </w:lvl>
    <w:lvl w:ilvl="2" w:tplc="6CC2E762">
      <w:start w:val="1"/>
      <w:numFmt w:val="lowerRoman"/>
      <w:lvlText w:val="%3."/>
      <w:lvlJc w:val="right"/>
      <w:pPr>
        <w:ind w:left="2160" w:hanging="180"/>
      </w:pPr>
    </w:lvl>
    <w:lvl w:ilvl="3" w:tplc="1AB863FE">
      <w:start w:val="1"/>
      <w:numFmt w:val="decimal"/>
      <w:lvlText w:val="%4."/>
      <w:lvlJc w:val="left"/>
      <w:pPr>
        <w:ind w:left="2880" w:hanging="360"/>
      </w:pPr>
    </w:lvl>
    <w:lvl w:ilvl="4" w:tplc="6292CF92">
      <w:start w:val="1"/>
      <w:numFmt w:val="lowerLetter"/>
      <w:lvlText w:val="%5."/>
      <w:lvlJc w:val="left"/>
      <w:pPr>
        <w:ind w:left="3600" w:hanging="360"/>
      </w:pPr>
    </w:lvl>
    <w:lvl w:ilvl="5" w:tplc="9DBA56BA">
      <w:start w:val="1"/>
      <w:numFmt w:val="lowerRoman"/>
      <w:lvlText w:val="%6."/>
      <w:lvlJc w:val="right"/>
      <w:pPr>
        <w:ind w:left="4320" w:hanging="180"/>
      </w:pPr>
    </w:lvl>
    <w:lvl w:ilvl="6" w:tplc="B7A0EC44">
      <w:start w:val="1"/>
      <w:numFmt w:val="decimal"/>
      <w:lvlText w:val="%7."/>
      <w:lvlJc w:val="left"/>
      <w:pPr>
        <w:ind w:left="5040" w:hanging="360"/>
      </w:pPr>
    </w:lvl>
    <w:lvl w:ilvl="7" w:tplc="B3D6D06E">
      <w:start w:val="1"/>
      <w:numFmt w:val="lowerLetter"/>
      <w:lvlText w:val="%8."/>
      <w:lvlJc w:val="left"/>
      <w:pPr>
        <w:ind w:left="5760" w:hanging="360"/>
      </w:pPr>
    </w:lvl>
    <w:lvl w:ilvl="8" w:tplc="9DC8A828">
      <w:start w:val="1"/>
      <w:numFmt w:val="lowerRoman"/>
      <w:lvlText w:val="%9."/>
      <w:lvlJc w:val="right"/>
      <w:pPr>
        <w:ind w:left="6480" w:hanging="180"/>
      </w:pPr>
    </w:lvl>
  </w:abstractNum>
  <w:abstractNum w:abstractNumId="14" w15:restartNumberingAfterBreak="0">
    <w:nsid w:val="68EDCD26"/>
    <w:multiLevelType w:val="hybridMultilevel"/>
    <w:tmpl w:val="53F06EAE"/>
    <w:lvl w:ilvl="0" w:tplc="9AAC59A2">
      <w:start w:val="1"/>
      <w:numFmt w:val="lowerLetter"/>
      <w:lvlText w:val="%1."/>
      <w:lvlJc w:val="left"/>
      <w:pPr>
        <w:ind w:left="720" w:hanging="360"/>
      </w:pPr>
    </w:lvl>
    <w:lvl w:ilvl="1" w:tplc="34F4E7F4">
      <w:start w:val="1"/>
      <w:numFmt w:val="lowerLetter"/>
      <w:lvlText w:val="%2."/>
      <w:lvlJc w:val="left"/>
      <w:pPr>
        <w:ind w:left="1440" w:hanging="360"/>
      </w:pPr>
    </w:lvl>
    <w:lvl w:ilvl="2" w:tplc="02280BD4">
      <w:start w:val="1"/>
      <w:numFmt w:val="lowerRoman"/>
      <w:lvlText w:val="%3."/>
      <w:lvlJc w:val="right"/>
      <w:pPr>
        <w:ind w:left="2160" w:hanging="180"/>
      </w:pPr>
    </w:lvl>
    <w:lvl w:ilvl="3" w:tplc="2CD8D7B2">
      <w:start w:val="1"/>
      <w:numFmt w:val="decimal"/>
      <w:lvlText w:val="%4."/>
      <w:lvlJc w:val="left"/>
      <w:pPr>
        <w:ind w:left="2880" w:hanging="360"/>
      </w:pPr>
    </w:lvl>
    <w:lvl w:ilvl="4" w:tplc="611E55AC">
      <w:start w:val="1"/>
      <w:numFmt w:val="lowerLetter"/>
      <w:lvlText w:val="%5."/>
      <w:lvlJc w:val="left"/>
      <w:pPr>
        <w:ind w:left="3600" w:hanging="360"/>
      </w:pPr>
    </w:lvl>
    <w:lvl w:ilvl="5" w:tplc="40EADDCE">
      <w:start w:val="1"/>
      <w:numFmt w:val="lowerRoman"/>
      <w:lvlText w:val="%6."/>
      <w:lvlJc w:val="right"/>
      <w:pPr>
        <w:ind w:left="4320" w:hanging="180"/>
      </w:pPr>
    </w:lvl>
    <w:lvl w:ilvl="6" w:tplc="A95A7B3E">
      <w:start w:val="1"/>
      <w:numFmt w:val="decimal"/>
      <w:lvlText w:val="%7."/>
      <w:lvlJc w:val="left"/>
      <w:pPr>
        <w:ind w:left="5040" w:hanging="360"/>
      </w:pPr>
    </w:lvl>
    <w:lvl w:ilvl="7" w:tplc="66B4719C">
      <w:start w:val="1"/>
      <w:numFmt w:val="lowerLetter"/>
      <w:lvlText w:val="%8."/>
      <w:lvlJc w:val="left"/>
      <w:pPr>
        <w:ind w:left="5760" w:hanging="360"/>
      </w:pPr>
    </w:lvl>
    <w:lvl w:ilvl="8" w:tplc="0762979E">
      <w:start w:val="1"/>
      <w:numFmt w:val="lowerRoman"/>
      <w:lvlText w:val="%9."/>
      <w:lvlJc w:val="right"/>
      <w:pPr>
        <w:ind w:left="6480" w:hanging="180"/>
      </w:p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7337969">
    <w:abstractNumId w:val="13"/>
  </w:num>
  <w:num w:numId="2" w16cid:durableId="1564369814">
    <w:abstractNumId w:val="14"/>
  </w:num>
  <w:num w:numId="3" w16cid:durableId="1656757962">
    <w:abstractNumId w:val="1"/>
  </w:num>
  <w:num w:numId="4" w16cid:durableId="1171144374">
    <w:abstractNumId w:val="6"/>
  </w:num>
  <w:num w:numId="5" w16cid:durableId="1426805703">
    <w:abstractNumId w:val="8"/>
  </w:num>
  <w:num w:numId="6" w16cid:durableId="59254097">
    <w:abstractNumId w:val="2"/>
  </w:num>
  <w:num w:numId="7" w16cid:durableId="1441729030">
    <w:abstractNumId w:val="17"/>
  </w:num>
  <w:num w:numId="8" w16cid:durableId="5177819">
    <w:abstractNumId w:val="3"/>
  </w:num>
  <w:num w:numId="9" w16cid:durableId="450174864">
    <w:abstractNumId w:val="10"/>
  </w:num>
  <w:num w:numId="10" w16cid:durableId="1973561893">
    <w:abstractNumId w:val="11"/>
  </w:num>
  <w:num w:numId="11" w16cid:durableId="1587567856">
    <w:abstractNumId w:val="9"/>
  </w:num>
  <w:num w:numId="12" w16cid:durableId="1868595034">
    <w:abstractNumId w:val="16"/>
  </w:num>
  <w:num w:numId="13" w16cid:durableId="1854569592">
    <w:abstractNumId w:val="15"/>
  </w:num>
  <w:num w:numId="14" w16cid:durableId="585264062">
    <w:abstractNumId w:val="0"/>
  </w:num>
  <w:num w:numId="15" w16cid:durableId="1168250095">
    <w:abstractNumId w:val="12"/>
  </w:num>
  <w:num w:numId="16" w16cid:durableId="521404635">
    <w:abstractNumId w:val="7"/>
  </w:num>
  <w:num w:numId="17" w16cid:durableId="1731613462">
    <w:abstractNumId w:val="5"/>
  </w:num>
  <w:num w:numId="18"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5E1"/>
    <w:rsid w:val="00013645"/>
    <w:rsid w:val="000230E8"/>
    <w:rsid w:val="00036320"/>
    <w:rsid w:val="000413F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44BEC"/>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3AD8"/>
    <w:rsid w:val="00775532"/>
    <w:rsid w:val="007800D4"/>
    <w:rsid w:val="00795598"/>
    <w:rsid w:val="007A51F2"/>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275E7"/>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34EFD6"/>
    <w:rsid w:val="019392B8"/>
    <w:rsid w:val="0278F9C3"/>
    <w:rsid w:val="02BF7A24"/>
    <w:rsid w:val="03186693"/>
    <w:rsid w:val="036A4610"/>
    <w:rsid w:val="04204907"/>
    <w:rsid w:val="060484A1"/>
    <w:rsid w:val="070FA104"/>
    <w:rsid w:val="08150FB8"/>
    <w:rsid w:val="097BBF7D"/>
    <w:rsid w:val="09BA0412"/>
    <w:rsid w:val="09EC2057"/>
    <w:rsid w:val="09EF1D40"/>
    <w:rsid w:val="0A209B25"/>
    <w:rsid w:val="0BED68D5"/>
    <w:rsid w:val="0CD1E31B"/>
    <w:rsid w:val="0CEC0016"/>
    <w:rsid w:val="0D5A1F5D"/>
    <w:rsid w:val="0D686948"/>
    <w:rsid w:val="0D72DA3A"/>
    <w:rsid w:val="0E360843"/>
    <w:rsid w:val="0F4095B3"/>
    <w:rsid w:val="1042397E"/>
    <w:rsid w:val="10F9CDDE"/>
    <w:rsid w:val="12468D3F"/>
    <w:rsid w:val="1266BF7C"/>
    <w:rsid w:val="128EC346"/>
    <w:rsid w:val="137D0EA4"/>
    <w:rsid w:val="13B9745A"/>
    <w:rsid w:val="15242577"/>
    <w:rsid w:val="16152C36"/>
    <w:rsid w:val="168AD76F"/>
    <w:rsid w:val="16A96739"/>
    <w:rsid w:val="17A61F53"/>
    <w:rsid w:val="17C63989"/>
    <w:rsid w:val="18BD7A67"/>
    <w:rsid w:val="1AD9B0AF"/>
    <w:rsid w:val="1B3B4AE7"/>
    <w:rsid w:val="1C3C7ECD"/>
    <w:rsid w:val="1C508C66"/>
    <w:rsid w:val="1CCD9654"/>
    <w:rsid w:val="1D694ADD"/>
    <w:rsid w:val="1E0E7DD4"/>
    <w:rsid w:val="1ECC7D34"/>
    <w:rsid w:val="1EF84BC6"/>
    <w:rsid w:val="1FEBF490"/>
    <w:rsid w:val="20C88C4C"/>
    <w:rsid w:val="219AB0ED"/>
    <w:rsid w:val="21A8EA07"/>
    <w:rsid w:val="231220FF"/>
    <w:rsid w:val="23745911"/>
    <w:rsid w:val="237D576F"/>
    <w:rsid w:val="2386C5FA"/>
    <w:rsid w:val="2396586E"/>
    <w:rsid w:val="23D6473C"/>
    <w:rsid w:val="23EEDB5B"/>
    <w:rsid w:val="244FE94B"/>
    <w:rsid w:val="24540DFE"/>
    <w:rsid w:val="2544BB7B"/>
    <w:rsid w:val="255FBB03"/>
    <w:rsid w:val="25BBDCFB"/>
    <w:rsid w:val="25D124E5"/>
    <w:rsid w:val="25DFC56E"/>
    <w:rsid w:val="265F2B78"/>
    <w:rsid w:val="267ADC82"/>
    <w:rsid w:val="26BDFD61"/>
    <w:rsid w:val="2702C17F"/>
    <w:rsid w:val="28D4908D"/>
    <w:rsid w:val="28DE7F55"/>
    <w:rsid w:val="28E39F80"/>
    <w:rsid w:val="293DB48E"/>
    <w:rsid w:val="297DA3DD"/>
    <w:rsid w:val="29F8EBF0"/>
    <w:rsid w:val="2AD16965"/>
    <w:rsid w:val="2B421F45"/>
    <w:rsid w:val="2BA2FD75"/>
    <w:rsid w:val="2BEAA1CC"/>
    <w:rsid w:val="2CF0B0C7"/>
    <w:rsid w:val="2D0FD71B"/>
    <w:rsid w:val="2D7A8CB5"/>
    <w:rsid w:val="2DA7E1A9"/>
    <w:rsid w:val="2E5214DD"/>
    <w:rsid w:val="30AC6835"/>
    <w:rsid w:val="30B22D77"/>
    <w:rsid w:val="31330F61"/>
    <w:rsid w:val="317B53CC"/>
    <w:rsid w:val="32934332"/>
    <w:rsid w:val="3383580C"/>
    <w:rsid w:val="33845D7A"/>
    <w:rsid w:val="34C94AC1"/>
    <w:rsid w:val="353D8534"/>
    <w:rsid w:val="359B0488"/>
    <w:rsid w:val="35F8F106"/>
    <w:rsid w:val="360D7CC8"/>
    <w:rsid w:val="370D21B6"/>
    <w:rsid w:val="371B56ED"/>
    <w:rsid w:val="374AA95E"/>
    <w:rsid w:val="378B0696"/>
    <w:rsid w:val="381F145E"/>
    <w:rsid w:val="385D5686"/>
    <w:rsid w:val="38F28EA8"/>
    <w:rsid w:val="3A7C6B4E"/>
    <w:rsid w:val="3AE65C83"/>
    <w:rsid w:val="3B1DF8C8"/>
    <w:rsid w:val="3B1E709F"/>
    <w:rsid w:val="3B3B7AB2"/>
    <w:rsid w:val="3BD59E7B"/>
    <w:rsid w:val="3C254DD5"/>
    <w:rsid w:val="3C420D59"/>
    <w:rsid w:val="3D213B80"/>
    <w:rsid w:val="3DE37735"/>
    <w:rsid w:val="3E27A308"/>
    <w:rsid w:val="3E2DE933"/>
    <w:rsid w:val="3E604E1E"/>
    <w:rsid w:val="3E97CDB4"/>
    <w:rsid w:val="401A75B8"/>
    <w:rsid w:val="40908E71"/>
    <w:rsid w:val="4118635F"/>
    <w:rsid w:val="41672CF8"/>
    <w:rsid w:val="419A6225"/>
    <w:rsid w:val="43257658"/>
    <w:rsid w:val="436B3ED7"/>
    <w:rsid w:val="440B7925"/>
    <w:rsid w:val="448D3EC9"/>
    <w:rsid w:val="44DA8C99"/>
    <w:rsid w:val="453D39BD"/>
    <w:rsid w:val="45AFBC62"/>
    <w:rsid w:val="4689B5AF"/>
    <w:rsid w:val="473ACF3E"/>
    <w:rsid w:val="477D7A2F"/>
    <w:rsid w:val="47925706"/>
    <w:rsid w:val="47BD461F"/>
    <w:rsid w:val="47BF7F19"/>
    <w:rsid w:val="491E7787"/>
    <w:rsid w:val="4A9A7C9E"/>
    <w:rsid w:val="4B1225C9"/>
    <w:rsid w:val="4B49CE1D"/>
    <w:rsid w:val="4B6C3AB3"/>
    <w:rsid w:val="4C205668"/>
    <w:rsid w:val="4D228A21"/>
    <w:rsid w:val="4EB7AE03"/>
    <w:rsid w:val="4EC274EB"/>
    <w:rsid w:val="4FD0CC8A"/>
    <w:rsid w:val="5066ECC7"/>
    <w:rsid w:val="514065DB"/>
    <w:rsid w:val="514551FD"/>
    <w:rsid w:val="5222A73C"/>
    <w:rsid w:val="523360A7"/>
    <w:rsid w:val="523AB646"/>
    <w:rsid w:val="5257EB58"/>
    <w:rsid w:val="52C935B4"/>
    <w:rsid w:val="530FE913"/>
    <w:rsid w:val="54ABB974"/>
    <w:rsid w:val="55AF52B2"/>
    <w:rsid w:val="55ED78BC"/>
    <w:rsid w:val="560ADB36"/>
    <w:rsid w:val="574AE8E7"/>
    <w:rsid w:val="575E1986"/>
    <w:rsid w:val="577F7402"/>
    <w:rsid w:val="57C298C1"/>
    <w:rsid w:val="58C72CDC"/>
    <w:rsid w:val="58F15D3F"/>
    <w:rsid w:val="58FBA7AA"/>
    <w:rsid w:val="5906C6F6"/>
    <w:rsid w:val="59375BE0"/>
    <w:rsid w:val="596598DF"/>
    <w:rsid w:val="598A290F"/>
    <w:rsid w:val="5A8D2DA0"/>
    <w:rsid w:val="5B282F17"/>
    <w:rsid w:val="5C206CAD"/>
    <w:rsid w:val="5C61A487"/>
    <w:rsid w:val="5C7BDD0B"/>
    <w:rsid w:val="5C9D39A1"/>
    <w:rsid w:val="5CF901BF"/>
    <w:rsid w:val="5DDA3819"/>
    <w:rsid w:val="5DDECACF"/>
    <w:rsid w:val="5E73D1FA"/>
    <w:rsid w:val="5EE904F6"/>
    <w:rsid w:val="5F10D168"/>
    <w:rsid w:val="5F6DC386"/>
    <w:rsid w:val="6027034B"/>
    <w:rsid w:val="6059B3D8"/>
    <w:rsid w:val="6124380B"/>
    <w:rsid w:val="613A803F"/>
    <w:rsid w:val="61618974"/>
    <w:rsid w:val="6201750C"/>
    <w:rsid w:val="62151AD5"/>
    <w:rsid w:val="625D6D72"/>
    <w:rsid w:val="62EF135B"/>
    <w:rsid w:val="6365AE6D"/>
    <w:rsid w:val="65B1B34C"/>
    <w:rsid w:val="6697F368"/>
    <w:rsid w:val="669D4F2F"/>
    <w:rsid w:val="67FC6117"/>
    <w:rsid w:val="67FEE5C9"/>
    <w:rsid w:val="6915437C"/>
    <w:rsid w:val="6A2BEF22"/>
    <w:rsid w:val="6B9595F8"/>
    <w:rsid w:val="6BB1A2CA"/>
    <w:rsid w:val="6CB87118"/>
    <w:rsid w:val="6CC4E900"/>
    <w:rsid w:val="6D069F88"/>
    <w:rsid w:val="6E20F0CD"/>
    <w:rsid w:val="6EF39DDD"/>
    <w:rsid w:val="6FAC144F"/>
    <w:rsid w:val="6FE9CDC1"/>
    <w:rsid w:val="6FF9B7C0"/>
    <w:rsid w:val="713C3050"/>
    <w:rsid w:val="72144426"/>
    <w:rsid w:val="72395B56"/>
    <w:rsid w:val="72581A95"/>
    <w:rsid w:val="7303D077"/>
    <w:rsid w:val="732AF305"/>
    <w:rsid w:val="73CEFC86"/>
    <w:rsid w:val="74B73B86"/>
    <w:rsid w:val="74DF7848"/>
    <w:rsid w:val="770EB111"/>
    <w:rsid w:val="77662FD0"/>
    <w:rsid w:val="77A4BB55"/>
    <w:rsid w:val="788FD90F"/>
    <w:rsid w:val="7A13BB8D"/>
    <w:rsid w:val="7A3E3E0A"/>
    <w:rsid w:val="7AC1D1F9"/>
    <w:rsid w:val="7B8EEB5F"/>
    <w:rsid w:val="7D75DECC"/>
    <w:rsid w:val="7D9CB783"/>
    <w:rsid w:val="7E6342D1"/>
    <w:rsid w:val="7E7F8924"/>
    <w:rsid w:val="7E8C389D"/>
    <w:rsid w:val="7E9E2CE4"/>
    <w:rsid w:val="7F261D6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6"/>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2022-09-24T05:59:00Z</dcterms:created>
  <dcterms:modified xsi:type="dcterms:W3CDTF">2022-09-24T05:59:00Z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