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1B4E86F4" w:rsidR="00587C7D" w:rsidRPr="005244AE" w:rsidRDefault="00257134" w:rsidP="00E9298B">
      <w:r>
        <w:t>January 2022</w:t>
      </w:r>
    </w:p>
    <w:p w14:paraId="713BEF40" w14:textId="77777777" w:rsidR="00587C7D" w:rsidRPr="005244AE" w:rsidRDefault="00587C7D" w:rsidP="00E9298B"/>
    <w:p w14:paraId="23566296" w14:textId="77777777" w:rsidR="00587C7D" w:rsidRPr="005244AE" w:rsidRDefault="00587C7D" w:rsidP="00E9298B"/>
    <w:p w14:paraId="4410E38B" w14:textId="58A8A55D" w:rsidR="000A33E1" w:rsidRPr="005244AE" w:rsidRDefault="00587C7D" w:rsidP="00E9298B">
      <w:r w:rsidRPr="005244AE">
        <w:t>To</w:t>
      </w:r>
      <w:r w:rsidR="00257134">
        <w:t xml:space="preserve"> Social Services and Community Committee</w:t>
      </w:r>
    </w:p>
    <w:p w14:paraId="56F6172C" w14:textId="2FCBE110"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Oversight of Tamariki System and Children and Young People’s Commission Bill.</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EB01F6"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4224C032" w:rsidP="4224C032">
      <w:pPr>
        <w:pStyle w:val="Heading1"/>
        <w:ind w:firstLine="567"/>
        <w:rPr>
          <w:rFonts w:ascii="Arial" w:eastAsia="Arial" w:hAnsi="Arial"/>
          <w:sz w:val="32"/>
          <w:szCs w:val="32"/>
        </w:rPr>
      </w:pPr>
      <w:r w:rsidRPr="4224C032">
        <w:rPr>
          <w:rFonts w:ascii="Arial" w:eastAsia="Arial" w:hAnsi="Arial"/>
          <w:sz w:val="32"/>
          <w:szCs w:val="32"/>
        </w:rPr>
        <w:lastRenderedPageBreak/>
        <w:t>Introducing Disabled Persons Assembly NZ</w:t>
      </w:r>
    </w:p>
    <w:p w14:paraId="74859CF7" w14:textId="0E36D97E"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5841E5">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1368214B" w14:textId="65201902" w:rsidR="00634AEC" w:rsidRPr="006F2712" w:rsidRDefault="4224C032" w:rsidP="4224C032">
      <w:pPr>
        <w:pStyle w:val="Heading1"/>
        <w:ind w:firstLine="567"/>
        <w:rPr>
          <w:rFonts w:ascii="Arial" w:eastAsia="Arial" w:hAnsi="Arial"/>
          <w:sz w:val="32"/>
          <w:szCs w:val="32"/>
        </w:rPr>
      </w:pPr>
      <w:r w:rsidRPr="4224C032">
        <w:rPr>
          <w:rFonts w:ascii="Arial" w:eastAsia="Arial" w:hAnsi="Arial"/>
          <w:sz w:val="32"/>
          <w:szCs w:val="32"/>
        </w:rPr>
        <w:t>Acknowledgements</w:t>
      </w:r>
    </w:p>
    <w:p w14:paraId="6E42516D" w14:textId="7603254B" w:rsidR="4224C032" w:rsidRDefault="4224C032" w:rsidP="4224C032">
      <w:pPr>
        <w:rPr>
          <w:rFonts w:eastAsia="SimSun"/>
          <w:szCs w:val="24"/>
        </w:rPr>
      </w:pPr>
      <w:r>
        <w:t xml:space="preserve">DPA would like to thank VOYCE – </w:t>
      </w:r>
      <w:proofErr w:type="spellStart"/>
      <w:r>
        <w:t>Whakarongo</w:t>
      </w:r>
      <w:proofErr w:type="spellEnd"/>
      <w:r>
        <w:t xml:space="preserve"> Mai for their work in this area and supports their submission on this bill. </w:t>
      </w:r>
    </w:p>
    <w:p w14:paraId="15C9562C" w14:textId="783CC940" w:rsidR="00E426CF" w:rsidRPr="006F2712" w:rsidRDefault="4224C032" w:rsidP="4224C032">
      <w:pPr>
        <w:pStyle w:val="Heading1"/>
        <w:ind w:firstLine="567"/>
      </w:pPr>
      <w:r w:rsidRPr="4224C032">
        <w:rPr>
          <w:rFonts w:ascii="Arial" w:eastAsia="Arial" w:hAnsi="Arial"/>
          <w:sz w:val="32"/>
          <w:szCs w:val="32"/>
        </w:rPr>
        <w:t>DPA’s recommendations</w:t>
      </w:r>
      <w:r>
        <w:t xml:space="preserve"> </w:t>
      </w:r>
    </w:p>
    <w:p w14:paraId="613877F0" w14:textId="3CA685E9" w:rsidR="4224C032" w:rsidRDefault="4224C032" w:rsidP="4224C032">
      <w:pPr>
        <w:pStyle w:val="ListParagraph"/>
        <w:numPr>
          <w:ilvl w:val="0"/>
          <w:numId w:val="25"/>
        </w:numPr>
        <w:ind w:left="360"/>
        <w:rPr>
          <w:rFonts w:asciiTheme="minorHAnsi" w:hAnsiTheme="minorHAnsi"/>
          <w:szCs w:val="24"/>
          <w:lang w:eastAsia="en-NZ"/>
        </w:rPr>
      </w:pPr>
      <w:r w:rsidRPr="4224C032">
        <w:rPr>
          <w:rFonts w:eastAsia="Arial" w:cs="Arial"/>
          <w:color w:val="000000" w:themeColor="text1"/>
          <w:szCs w:val="24"/>
        </w:rPr>
        <w:t>DPA strongly urges that the Independent Children’s Monitor sits under the Office of the Children</w:t>
      </w:r>
      <w:r w:rsidR="00361328">
        <w:rPr>
          <w:rFonts w:eastAsia="Arial" w:cs="Arial"/>
          <w:color w:val="000000" w:themeColor="text1"/>
          <w:szCs w:val="24"/>
        </w:rPr>
        <w:t>’s</w:t>
      </w:r>
      <w:r w:rsidRPr="4224C032">
        <w:rPr>
          <w:rFonts w:eastAsia="Arial" w:cs="Arial"/>
          <w:color w:val="000000" w:themeColor="text1"/>
          <w:szCs w:val="24"/>
        </w:rPr>
        <w:t xml:space="preserve"> Commissioner. We see this as fundamental to its effectiveness.</w:t>
      </w:r>
      <w:r w:rsidRPr="4224C032">
        <w:rPr>
          <w:lang w:eastAsia="en-NZ"/>
        </w:rPr>
        <w:t xml:space="preserve"> </w:t>
      </w:r>
    </w:p>
    <w:p w14:paraId="50CDF81A" w14:textId="1DB669B5" w:rsidR="4224C032" w:rsidRDefault="4224C032" w:rsidP="4224C032">
      <w:pPr>
        <w:pStyle w:val="ListParagraph"/>
        <w:numPr>
          <w:ilvl w:val="0"/>
          <w:numId w:val="25"/>
        </w:numPr>
        <w:ind w:left="360"/>
        <w:rPr>
          <w:lang w:eastAsia="en-NZ"/>
        </w:rPr>
      </w:pPr>
      <w:r w:rsidRPr="4224C032">
        <w:rPr>
          <w:lang w:eastAsia="en-NZ"/>
        </w:rPr>
        <w:t>DPA recommends that greater engagement with young people happens before this Bill is progressed any further.  Provision for ongoing engagement with young people must also be included in the Bill; and all necessary supports to enable young disabled people to be fully engaged must be resourced and provided.</w:t>
      </w:r>
    </w:p>
    <w:p w14:paraId="30ADFE0C" w14:textId="6B9BE98F" w:rsidR="00E426CF" w:rsidRPr="00FD7A1A" w:rsidRDefault="4224C032" w:rsidP="4224C032">
      <w:pPr>
        <w:pStyle w:val="ListParagraph"/>
        <w:numPr>
          <w:ilvl w:val="0"/>
          <w:numId w:val="25"/>
        </w:numPr>
        <w:ind w:left="360"/>
        <w:rPr>
          <w:rFonts w:eastAsia="Times New Roman" w:cs="Arial"/>
          <w:color w:val="102B26"/>
          <w:lang w:eastAsia="en-GB"/>
        </w:rPr>
      </w:pPr>
      <w:r w:rsidRPr="4224C032">
        <w:rPr>
          <w:lang w:eastAsia="en-NZ"/>
        </w:rPr>
        <w:t xml:space="preserve">DPA recommends that at least 50% of the Commission Board must whakapapa </w:t>
      </w:r>
      <w:r w:rsidRPr="4224C032">
        <w:rPr>
          <w:rFonts w:eastAsia="Times New Roman" w:cs="Arial"/>
          <w:color w:val="102B26"/>
          <w:lang w:eastAsia="en-GB"/>
        </w:rPr>
        <w:t>Māori and that the ICM should adopt a governance structure that reflects true partnership with Māori.</w:t>
      </w:r>
    </w:p>
    <w:p w14:paraId="050C5241" w14:textId="5981A1D5" w:rsidR="006C4177" w:rsidRDefault="4224C032" w:rsidP="4224C032">
      <w:pPr>
        <w:pStyle w:val="ListParagraph"/>
        <w:numPr>
          <w:ilvl w:val="0"/>
          <w:numId w:val="25"/>
        </w:numPr>
        <w:ind w:left="360"/>
        <w:rPr>
          <w:lang w:eastAsia="en-NZ"/>
        </w:rPr>
      </w:pPr>
      <w:r w:rsidRPr="4224C032">
        <w:rPr>
          <w:lang w:eastAsia="en-NZ"/>
        </w:rPr>
        <w:t>DPA recommends that the ICM has strong powers to enforce accountability, including unrestricted power of entry with clear feedback loops for all key stakeholders.</w:t>
      </w:r>
    </w:p>
    <w:p w14:paraId="02744FA0" w14:textId="3D615E19" w:rsidR="000304CB" w:rsidRDefault="4224C032" w:rsidP="4224C032">
      <w:pPr>
        <w:pStyle w:val="ListParagraph"/>
        <w:numPr>
          <w:ilvl w:val="0"/>
          <w:numId w:val="25"/>
        </w:numPr>
        <w:ind w:left="360"/>
        <w:rPr>
          <w:lang w:eastAsia="en-NZ"/>
        </w:rPr>
      </w:pPr>
      <w:r>
        <w:lastRenderedPageBreak/>
        <w:t xml:space="preserve">DPA recommends that monitoring, complaints and advocacy functions be brought together to be most effective at monitoring, protecting and promoting the rights of </w:t>
      </w:r>
      <w:proofErr w:type="spellStart"/>
      <w:proofErr w:type="gramStart"/>
      <w:r>
        <w:t>tamariki</w:t>
      </w:r>
      <w:proofErr w:type="spellEnd"/>
      <w:r>
        <w:t xml:space="preserve">  and</w:t>
      </w:r>
      <w:proofErr w:type="gramEnd"/>
      <w:r>
        <w:t xml:space="preserve"> </w:t>
      </w:r>
      <w:proofErr w:type="spellStart"/>
      <w:r>
        <w:t>rangatahi</w:t>
      </w:r>
      <w:proofErr w:type="spellEnd"/>
      <w:r>
        <w:t>.</w:t>
      </w:r>
    </w:p>
    <w:p w14:paraId="4483F7E1" w14:textId="046C083A" w:rsidR="00E426CF" w:rsidRDefault="4224C032" w:rsidP="4224C032">
      <w:pPr>
        <w:pStyle w:val="ListParagraph"/>
        <w:numPr>
          <w:ilvl w:val="0"/>
          <w:numId w:val="25"/>
        </w:numPr>
        <w:ind w:left="360"/>
        <w:rPr>
          <w:lang w:eastAsia="en-NZ"/>
        </w:rPr>
      </w:pPr>
      <w:r w:rsidRPr="4224C032">
        <w:rPr>
          <w:lang w:eastAsia="en-NZ"/>
        </w:rPr>
        <w:t xml:space="preserve"> DPA recommends that a child-specific agency (such as the Office of the Children’s Commissioner) manage complaints about </w:t>
      </w:r>
      <w:proofErr w:type="spellStart"/>
      <w:r w:rsidRPr="4224C032">
        <w:rPr>
          <w:lang w:eastAsia="en-NZ"/>
        </w:rPr>
        <w:t>Oranga</w:t>
      </w:r>
      <w:proofErr w:type="spellEnd"/>
      <w:r w:rsidRPr="4224C032">
        <w:rPr>
          <w:lang w:eastAsia="en-NZ"/>
        </w:rPr>
        <w:t xml:space="preserve"> Tamariki.</w:t>
      </w:r>
    </w:p>
    <w:p w14:paraId="3D5B5AAC" w14:textId="42B4A873" w:rsidR="003E3C38" w:rsidRDefault="4224C032" w:rsidP="4224C032">
      <w:pPr>
        <w:pStyle w:val="Heading1"/>
        <w:ind w:firstLine="567"/>
        <w:rPr>
          <w:rFonts w:ascii="Arial" w:eastAsia="Arial" w:hAnsi="Arial"/>
          <w:sz w:val="32"/>
          <w:szCs w:val="32"/>
        </w:rPr>
      </w:pPr>
      <w:r w:rsidRPr="4224C032">
        <w:rPr>
          <w:rFonts w:ascii="Arial" w:eastAsia="Arial" w:hAnsi="Arial"/>
          <w:sz w:val="32"/>
          <w:szCs w:val="32"/>
        </w:rPr>
        <w:t xml:space="preserve">United Nations Convention on the Rights of Persons with </w:t>
      </w:r>
      <w:r w:rsidR="00C0441C">
        <w:tab/>
      </w:r>
      <w:r w:rsidRPr="4224C032">
        <w:rPr>
          <w:rFonts w:ascii="Arial" w:eastAsia="Arial" w:hAnsi="Arial"/>
          <w:sz w:val="32"/>
          <w:szCs w:val="32"/>
        </w:rPr>
        <w:t>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D61743E" w:rsidR="00573EA0" w:rsidRPr="00573EA0" w:rsidRDefault="00573EA0" w:rsidP="00573EA0">
      <w:pPr>
        <w:rPr>
          <w:lang w:eastAsia="en-NZ"/>
        </w:rPr>
      </w:pPr>
      <w:r>
        <w:rPr>
          <w:lang w:eastAsia="en-NZ"/>
        </w:rPr>
        <w:t>The UNCRPD</w:t>
      </w:r>
      <w:r w:rsidR="003747E8">
        <w:rPr>
          <w:rStyle w:val="EndnoteReference"/>
          <w:lang w:eastAsia="en-NZ"/>
        </w:rPr>
        <w:endnoteReference w:id="1"/>
      </w:r>
      <w:r>
        <w:rPr>
          <w:lang w:eastAsia="en-NZ"/>
        </w:rPr>
        <w:t xml:space="preserve"> places an obligation on Government to ensure and promote the full realisation of all human rights and fundamental freedoms for all disabled people without discrimination of any kind </w:t>
      </w:r>
      <w:proofErr w:type="gramStart"/>
      <w:r>
        <w:rPr>
          <w:lang w:eastAsia="en-NZ"/>
        </w:rPr>
        <w:t>on the basis of</w:t>
      </w:r>
      <w:proofErr w:type="gramEnd"/>
      <w:r>
        <w:rPr>
          <w:lang w:eastAsia="en-NZ"/>
        </w:rPr>
        <w:t xml:space="preserve">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6B409099" w14:textId="2212D085" w:rsidR="009A6FA7" w:rsidRPr="00B227DA" w:rsidRDefault="009A6FA7" w:rsidP="00B227DA">
      <w:pPr>
        <w:rPr>
          <w:lang w:eastAsia="en-NZ"/>
        </w:rPr>
      </w:pPr>
      <w:r>
        <w:rPr>
          <w:lang w:eastAsia="en-NZ"/>
        </w:rPr>
        <w:t>Other key Articles of the UNCRPD relevant to this submission are:</w:t>
      </w:r>
    </w:p>
    <w:p w14:paraId="4EA0CCE1" w14:textId="6661A207" w:rsidR="00573EA0" w:rsidRDefault="00573EA0" w:rsidP="00573EA0">
      <w:pPr>
        <w:pStyle w:val="Heading2"/>
        <w:spacing w:before="0" w:after="200"/>
        <w:ind w:left="0" w:right="0"/>
        <w:rPr>
          <w:b/>
          <w:bCs/>
          <w:sz w:val="28"/>
          <w:szCs w:val="28"/>
        </w:rPr>
      </w:pPr>
      <w:r w:rsidRPr="00E60FB8">
        <w:rPr>
          <w:b/>
          <w:bCs/>
          <w:sz w:val="28"/>
          <w:szCs w:val="28"/>
        </w:rPr>
        <w:t xml:space="preserve">Article </w:t>
      </w:r>
      <w:r w:rsidR="00277B95">
        <w:rPr>
          <w:b/>
          <w:bCs/>
          <w:sz w:val="28"/>
          <w:szCs w:val="28"/>
        </w:rPr>
        <w:t>3</w:t>
      </w:r>
      <w:r>
        <w:rPr>
          <w:b/>
          <w:bCs/>
          <w:sz w:val="28"/>
          <w:szCs w:val="28"/>
        </w:rPr>
        <w:t xml:space="preserve"> </w:t>
      </w:r>
      <w:r w:rsidR="00C32B8A" w:rsidRPr="007367F3">
        <w:rPr>
          <w:b/>
          <w:bCs/>
          <w:sz w:val="28"/>
          <w:szCs w:val="28"/>
        </w:rPr>
        <w:t>-</w:t>
      </w:r>
      <w:r w:rsidRPr="00E60FB8">
        <w:rPr>
          <w:b/>
          <w:bCs/>
          <w:sz w:val="28"/>
          <w:szCs w:val="28"/>
        </w:rPr>
        <w:t xml:space="preserve"> </w:t>
      </w:r>
      <w:r w:rsidR="00277B95">
        <w:rPr>
          <w:b/>
          <w:bCs/>
          <w:sz w:val="28"/>
          <w:szCs w:val="28"/>
        </w:rPr>
        <w:t xml:space="preserve">General Principles </w:t>
      </w:r>
      <w:r w:rsidR="00C32B8A" w:rsidRPr="007367F3">
        <w:rPr>
          <w:b/>
          <w:bCs/>
          <w:sz w:val="28"/>
          <w:szCs w:val="28"/>
        </w:rPr>
        <w:t>-</w:t>
      </w:r>
      <w:r w:rsidR="00277B95">
        <w:rPr>
          <w:b/>
          <w:bCs/>
          <w:sz w:val="28"/>
          <w:szCs w:val="28"/>
        </w:rPr>
        <w:t xml:space="preserve"> in particular Article 3(8)</w:t>
      </w:r>
    </w:p>
    <w:p w14:paraId="3F2EECBA" w14:textId="3E24B107" w:rsidR="00277B95" w:rsidRPr="00277B95" w:rsidRDefault="00277B95" w:rsidP="00277B95">
      <w:pPr>
        <w:rPr>
          <w:lang w:eastAsia="en-NZ"/>
        </w:rPr>
      </w:pPr>
      <w:r>
        <w:rPr>
          <w:lang w:eastAsia="en-NZ"/>
        </w:rPr>
        <w:t>“Respect for the evolving capacities of children with disabilities and respect for the right of children with disabilities to preserve their identities.”</w:t>
      </w:r>
    </w:p>
    <w:p w14:paraId="09E0A8C9" w14:textId="59D5447D" w:rsidR="00573EA0" w:rsidRPr="007367F3" w:rsidRDefault="00573EA0" w:rsidP="00573EA0">
      <w:pPr>
        <w:pStyle w:val="Heading2"/>
        <w:spacing w:before="0" w:after="200"/>
        <w:ind w:left="0" w:right="0"/>
        <w:rPr>
          <w:b/>
          <w:bCs/>
          <w:sz w:val="28"/>
          <w:szCs w:val="28"/>
        </w:rPr>
      </w:pPr>
      <w:r w:rsidRPr="007367F3">
        <w:rPr>
          <w:b/>
          <w:bCs/>
          <w:sz w:val="28"/>
          <w:szCs w:val="28"/>
        </w:rPr>
        <w:t xml:space="preserve">Article </w:t>
      </w:r>
      <w:r w:rsidR="00D001C0">
        <w:rPr>
          <w:b/>
          <w:bCs/>
          <w:sz w:val="28"/>
          <w:szCs w:val="28"/>
        </w:rPr>
        <w:t>5</w:t>
      </w:r>
      <w:r>
        <w:rPr>
          <w:b/>
          <w:bCs/>
          <w:sz w:val="28"/>
          <w:szCs w:val="28"/>
        </w:rPr>
        <w:t xml:space="preserve"> </w:t>
      </w:r>
      <w:r w:rsidR="00C32B8A" w:rsidRPr="007367F3">
        <w:rPr>
          <w:b/>
          <w:bCs/>
          <w:sz w:val="28"/>
          <w:szCs w:val="28"/>
        </w:rPr>
        <w:t>-</w:t>
      </w:r>
      <w:r w:rsidRPr="007367F3">
        <w:rPr>
          <w:b/>
          <w:bCs/>
          <w:sz w:val="28"/>
          <w:szCs w:val="28"/>
        </w:rPr>
        <w:t xml:space="preserve"> </w:t>
      </w:r>
      <w:r w:rsidR="00D001C0">
        <w:rPr>
          <w:b/>
          <w:bCs/>
          <w:sz w:val="28"/>
          <w:szCs w:val="28"/>
        </w:rPr>
        <w:t>Equality and Non-Discrimination</w:t>
      </w:r>
    </w:p>
    <w:p w14:paraId="0AB7E0B8" w14:textId="6033CCD0" w:rsidR="00573EA0" w:rsidRDefault="00573EA0" w:rsidP="00573EA0">
      <w:pPr>
        <w:pStyle w:val="Heading2"/>
        <w:spacing w:before="0" w:after="200"/>
        <w:ind w:left="0" w:right="0"/>
        <w:rPr>
          <w:b/>
          <w:bCs/>
          <w:sz w:val="28"/>
          <w:szCs w:val="28"/>
        </w:rPr>
      </w:pPr>
      <w:r w:rsidRPr="007367F3">
        <w:rPr>
          <w:b/>
          <w:bCs/>
          <w:sz w:val="28"/>
          <w:szCs w:val="28"/>
        </w:rPr>
        <w:t xml:space="preserve">Article </w:t>
      </w:r>
      <w:r w:rsidR="00C32B8A">
        <w:rPr>
          <w:b/>
          <w:bCs/>
          <w:sz w:val="28"/>
          <w:szCs w:val="28"/>
        </w:rPr>
        <w:t>7</w:t>
      </w:r>
      <w:r>
        <w:rPr>
          <w:b/>
          <w:bCs/>
          <w:sz w:val="28"/>
          <w:szCs w:val="28"/>
        </w:rPr>
        <w:t xml:space="preserve"> </w:t>
      </w:r>
      <w:r w:rsidR="00C32B8A" w:rsidRPr="007367F3">
        <w:rPr>
          <w:b/>
          <w:bCs/>
          <w:sz w:val="28"/>
          <w:szCs w:val="28"/>
        </w:rPr>
        <w:t>-</w:t>
      </w:r>
      <w:r w:rsidRPr="007367F3">
        <w:rPr>
          <w:b/>
          <w:bCs/>
          <w:sz w:val="28"/>
          <w:szCs w:val="28"/>
        </w:rPr>
        <w:t xml:space="preserve"> </w:t>
      </w:r>
      <w:r w:rsidR="00C32B8A">
        <w:rPr>
          <w:b/>
          <w:bCs/>
          <w:sz w:val="28"/>
          <w:szCs w:val="28"/>
        </w:rPr>
        <w:t>Children with Disabilities</w:t>
      </w:r>
    </w:p>
    <w:p w14:paraId="1740CDBC" w14:textId="7758A90F" w:rsidR="00294329" w:rsidRPr="007367F3" w:rsidRDefault="00294329" w:rsidP="00294329">
      <w:pPr>
        <w:pStyle w:val="Heading2"/>
        <w:spacing w:before="0" w:after="200"/>
        <w:ind w:left="0" w:right="0"/>
        <w:rPr>
          <w:b/>
          <w:bCs/>
          <w:sz w:val="28"/>
          <w:szCs w:val="28"/>
        </w:rPr>
      </w:pPr>
      <w:r w:rsidRPr="007367F3">
        <w:rPr>
          <w:b/>
          <w:bCs/>
          <w:sz w:val="28"/>
          <w:szCs w:val="28"/>
        </w:rPr>
        <w:lastRenderedPageBreak/>
        <w:t xml:space="preserve">Article </w:t>
      </w:r>
      <w:r w:rsidR="00C32B8A">
        <w:rPr>
          <w:b/>
          <w:bCs/>
          <w:sz w:val="28"/>
          <w:szCs w:val="28"/>
        </w:rPr>
        <w:t>12</w:t>
      </w:r>
      <w:r>
        <w:rPr>
          <w:b/>
          <w:bCs/>
          <w:sz w:val="28"/>
          <w:szCs w:val="28"/>
        </w:rPr>
        <w:t xml:space="preserve"> </w:t>
      </w:r>
      <w:r w:rsidR="000633A0" w:rsidRPr="007367F3">
        <w:rPr>
          <w:b/>
          <w:bCs/>
          <w:sz w:val="28"/>
          <w:szCs w:val="28"/>
        </w:rPr>
        <w:t>-</w:t>
      </w:r>
      <w:r w:rsidRPr="007367F3">
        <w:rPr>
          <w:b/>
          <w:bCs/>
          <w:sz w:val="28"/>
          <w:szCs w:val="28"/>
        </w:rPr>
        <w:t xml:space="preserve"> </w:t>
      </w:r>
      <w:r w:rsidR="000633A0">
        <w:rPr>
          <w:b/>
          <w:bCs/>
          <w:sz w:val="28"/>
          <w:szCs w:val="28"/>
        </w:rPr>
        <w:t>Equal Recognition Before the Law</w:t>
      </w:r>
    </w:p>
    <w:p w14:paraId="45461EE2" w14:textId="77777777" w:rsidR="00996BC8" w:rsidRDefault="00294329" w:rsidP="00996BC8">
      <w:pPr>
        <w:pStyle w:val="Heading2"/>
        <w:spacing w:before="0" w:after="200"/>
        <w:ind w:left="0" w:right="0"/>
        <w:rPr>
          <w:b/>
          <w:bCs/>
          <w:sz w:val="28"/>
          <w:szCs w:val="28"/>
        </w:rPr>
      </w:pPr>
      <w:r w:rsidRPr="007367F3">
        <w:rPr>
          <w:b/>
          <w:bCs/>
          <w:sz w:val="28"/>
          <w:szCs w:val="28"/>
        </w:rPr>
        <w:t>Article 1</w:t>
      </w:r>
      <w:r w:rsidR="00C32B8A">
        <w:rPr>
          <w:b/>
          <w:bCs/>
          <w:sz w:val="28"/>
          <w:szCs w:val="28"/>
        </w:rPr>
        <w:t>3</w:t>
      </w:r>
      <w:r>
        <w:rPr>
          <w:b/>
          <w:bCs/>
          <w:sz w:val="28"/>
          <w:szCs w:val="28"/>
        </w:rPr>
        <w:t xml:space="preserve"> </w:t>
      </w:r>
      <w:r w:rsidR="000633A0" w:rsidRPr="007367F3">
        <w:rPr>
          <w:b/>
          <w:bCs/>
          <w:sz w:val="28"/>
          <w:szCs w:val="28"/>
        </w:rPr>
        <w:t>-</w:t>
      </w:r>
      <w:r w:rsidRPr="007367F3">
        <w:rPr>
          <w:b/>
          <w:bCs/>
          <w:sz w:val="28"/>
          <w:szCs w:val="28"/>
        </w:rPr>
        <w:t xml:space="preserve"> </w:t>
      </w:r>
      <w:r w:rsidR="000633A0">
        <w:rPr>
          <w:b/>
          <w:bCs/>
          <w:sz w:val="28"/>
          <w:szCs w:val="28"/>
        </w:rPr>
        <w:t>Access to Justice</w:t>
      </w:r>
    </w:p>
    <w:p w14:paraId="7A32555E" w14:textId="09596360" w:rsidR="00996BC8" w:rsidRDefault="00996BC8" w:rsidP="00996BC8">
      <w:pPr>
        <w:pStyle w:val="Heading2"/>
        <w:spacing w:before="0" w:after="200"/>
        <w:ind w:left="0" w:right="0"/>
        <w:rPr>
          <w:b/>
          <w:bCs/>
          <w:sz w:val="28"/>
          <w:szCs w:val="28"/>
        </w:rPr>
      </w:pPr>
      <w:r w:rsidRPr="00996BC8">
        <w:rPr>
          <w:b/>
          <w:bCs/>
          <w:sz w:val="28"/>
          <w:szCs w:val="28"/>
        </w:rPr>
        <w:t>Article 23 – Respect for Home and the Family</w:t>
      </w:r>
    </w:p>
    <w:p w14:paraId="2A7FBCC0" w14:textId="534FE082" w:rsidR="005C20AF" w:rsidRDefault="15175FEE" w:rsidP="005C20AF">
      <w:pPr>
        <w:rPr>
          <w:lang w:eastAsia="en-NZ"/>
        </w:rPr>
      </w:pPr>
      <w:r w:rsidRPr="15175FEE">
        <w:rPr>
          <w:lang w:eastAsia="en-NZ"/>
        </w:rPr>
        <w:t xml:space="preserve">With Sections 3 and 4 being of </w:t>
      </w:r>
      <w:proofErr w:type="gramStart"/>
      <w:r w:rsidRPr="15175FEE">
        <w:rPr>
          <w:lang w:eastAsia="en-NZ"/>
        </w:rPr>
        <w:t>particular relevance</w:t>
      </w:r>
      <w:proofErr w:type="gramEnd"/>
      <w:r w:rsidRPr="15175FEE">
        <w:rPr>
          <w:lang w:eastAsia="en-NZ"/>
        </w:rPr>
        <w:t xml:space="preserve"> to this submission: </w:t>
      </w:r>
    </w:p>
    <w:p w14:paraId="3B416CB3" w14:textId="77777777" w:rsidR="00937197" w:rsidRPr="0073084F" w:rsidRDefault="00937197" w:rsidP="00937197">
      <w:pPr>
        <w:pStyle w:val="ListParagraph"/>
        <w:rPr>
          <w:rFonts w:cs="Arial"/>
          <w:i/>
        </w:rPr>
      </w:pPr>
      <w:r w:rsidRPr="009D720D">
        <w:rPr>
          <w:rFonts w:cs="Arial"/>
          <w:b/>
          <w:bCs/>
          <w:szCs w:val="24"/>
        </w:rPr>
        <w:t>3.</w:t>
      </w:r>
      <w:r>
        <w:rPr>
          <w:rFonts w:cs="Arial"/>
          <w:i/>
        </w:rPr>
        <w:t xml:space="preserve"> “</w:t>
      </w:r>
      <w:r w:rsidRPr="001A7C24">
        <w:rPr>
          <w:rFonts w:cs="Arial"/>
          <w:i/>
        </w:rPr>
        <w:t xml:space="preserve">Parties shall ensure that children with disabilities have equal rights with respect to family life. With a view to realizing these rights, and to prevent concealment, abandonment, </w:t>
      </w:r>
      <w:proofErr w:type="gramStart"/>
      <w:r w:rsidRPr="001A7C24">
        <w:rPr>
          <w:rFonts w:cs="Arial"/>
          <w:i/>
        </w:rPr>
        <w:t>neglect</w:t>
      </w:r>
      <w:proofErr w:type="gramEnd"/>
      <w:r w:rsidRPr="001A7C24">
        <w:rPr>
          <w:rFonts w:cs="Arial"/>
          <w:i/>
        </w:rPr>
        <w:t xml:space="preserve"> and segregation of children with disabilities, States Parties shall undertake to provide early and comprehensive information, services and support to children with disabilities and their families.</w:t>
      </w:r>
      <w:r>
        <w:rPr>
          <w:rFonts w:cs="Arial"/>
          <w:i/>
        </w:rPr>
        <w:t>”</w:t>
      </w:r>
    </w:p>
    <w:p w14:paraId="57F3F05C" w14:textId="77777777" w:rsidR="00937197" w:rsidRPr="001A7C24" w:rsidRDefault="15175FEE" w:rsidP="00937197">
      <w:pPr>
        <w:ind w:left="720"/>
        <w:rPr>
          <w:rFonts w:cs="Arial"/>
          <w:i/>
        </w:rPr>
      </w:pPr>
      <w:r w:rsidRPr="15175FEE">
        <w:rPr>
          <w:rFonts w:cs="Arial"/>
          <w:b/>
          <w:bCs/>
        </w:rPr>
        <w:t>4.</w:t>
      </w:r>
      <w:r w:rsidRPr="15175FEE">
        <w:rPr>
          <w:rFonts w:cs="Arial"/>
          <w:i/>
          <w:iCs/>
        </w:rPr>
        <w:t xml:space="preserve">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w:t>
      </w:r>
      <w:proofErr w:type="gramStart"/>
      <w:r w:rsidRPr="15175FEE">
        <w:rPr>
          <w:rFonts w:cs="Arial"/>
          <w:i/>
          <w:iCs/>
        </w:rPr>
        <w:t>on the basis of</w:t>
      </w:r>
      <w:proofErr w:type="gramEnd"/>
      <w:r w:rsidRPr="15175FEE">
        <w:rPr>
          <w:rFonts w:cs="Arial"/>
          <w:i/>
          <w:iCs/>
        </w:rPr>
        <w:t xml:space="preserve"> a disability of either the child or one or both of the parents.”</w:t>
      </w:r>
    </w:p>
    <w:p w14:paraId="5AE3F325" w14:textId="268DBBF4" w:rsidR="15175FEE" w:rsidRDefault="15175FEE" w:rsidP="15175FEE">
      <w:pPr>
        <w:pStyle w:val="Heading2"/>
        <w:ind w:left="0"/>
      </w:pPr>
      <w:r>
        <w:t xml:space="preserve">Other relevant treaties and policy </w:t>
      </w:r>
    </w:p>
    <w:p w14:paraId="664B2EE9" w14:textId="599362F7" w:rsidR="009D2D4A" w:rsidRDefault="009D2D4A" w:rsidP="4224C032">
      <w:pPr>
        <w:pStyle w:val="Heading2"/>
        <w:spacing w:before="0" w:after="200"/>
        <w:ind w:left="0" w:right="0"/>
        <w:rPr>
          <w:rFonts w:ascii="Arial" w:eastAsia="Arial" w:hAnsi="Arial"/>
          <w:color w:val="auto"/>
          <w:sz w:val="24"/>
          <w:szCs w:val="24"/>
        </w:rPr>
      </w:pPr>
      <w:r w:rsidRPr="4224C032">
        <w:rPr>
          <w:rFonts w:ascii="Arial" w:eastAsia="Arial" w:hAnsi="Arial"/>
          <w:color w:val="auto"/>
          <w:sz w:val="24"/>
          <w:szCs w:val="24"/>
        </w:rPr>
        <w:t>United Nations Convention on the Rights of the Child</w:t>
      </w:r>
      <w:r w:rsidR="00C54C94" w:rsidRPr="4224C032">
        <w:rPr>
          <w:rFonts w:ascii="Arial" w:eastAsia="Arial" w:hAnsi="Arial"/>
          <w:color w:val="auto"/>
          <w:sz w:val="24"/>
          <w:szCs w:val="24"/>
        </w:rPr>
        <w:t xml:space="preserve"> (UNCRC)</w:t>
      </w:r>
      <w:r w:rsidR="00C54C94" w:rsidRPr="4224C032">
        <w:rPr>
          <w:rStyle w:val="EndnoteReference"/>
          <w:rFonts w:ascii="Arial" w:eastAsia="Arial" w:hAnsi="Arial"/>
          <w:color w:val="auto"/>
          <w:sz w:val="24"/>
          <w:szCs w:val="24"/>
        </w:rPr>
        <w:endnoteReference w:id="2"/>
      </w:r>
    </w:p>
    <w:p w14:paraId="6D538A5E" w14:textId="2630C591" w:rsidR="009D2D4A" w:rsidRPr="007367F3" w:rsidRDefault="00742049" w:rsidP="4224C032">
      <w:pPr>
        <w:pStyle w:val="Heading2"/>
        <w:spacing w:before="0" w:after="200"/>
        <w:ind w:left="0" w:right="0"/>
        <w:rPr>
          <w:rFonts w:ascii="Arial" w:eastAsia="Arial" w:hAnsi="Arial"/>
          <w:color w:val="auto"/>
          <w:sz w:val="24"/>
          <w:szCs w:val="24"/>
        </w:rPr>
      </w:pPr>
      <w:r w:rsidRPr="4224C032">
        <w:rPr>
          <w:rFonts w:ascii="Arial" w:eastAsia="Arial" w:hAnsi="Arial"/>
          <w:color w:val="auto"/>
          <w:sz w:val="24"/>
          <w:szCs w:val="24"/>
        </w:rPr>
        <w:t>United Nations Declaration on the Rights of Indigenous Peoples (UNDRIP)</w:t>
      </w:r>
      <w:r w:rsidRPr="4224C032">
        <w:rPr>
          <w:rStyle w:val="EndnoteReference"/>
          <w:rFonts w:ascii="Arial" w:eastAsia="Arial" w:hAnsi="Arial"/>
          <w:color w:val="auto"/>
          <w:sz w:val="24"/>
          <w:szCs w:val="24"/>
        </w:rPr>
        <w:endnoteReference w:id="3"/>
      </w:r>
    </w:p>
    <w:p w14:paraId="0FC9D90D" w14:textId="47F31A0B" w:rsidR="00766369" w:rsidRDefault="4224C032" w:rsidP="4224C032">
      <w:pPr>
        <w:pStyle w:val="Heading2"/>
        <w:spacing w:before="0" w:after="200"/>
        <w:ind w:left="0" w:right="0"/>
        <w:rPr>
          <w:rFonts w:ascii="Arial" w:eastAsia="Arial" w:hAnsi="Arial"/>
          <w:color w:val="auto"/>
          <w:sz w:val="24"/>
          <w:szCs w:val="24"/>
        </w:rPr>
      </w:pPr>
      <w:r w:rsidRPr="4224C032">
        <w:rPr>
          <w:rFonts w:ascii="Arial" w:eastAsia="Arial" w:hAnsi="Arial"/>
          <w:color w:val="auto"/>
          <w:sz w:val="24"/>
          <w:szCs w:val="24"/>
        </w:rPr>
        <w:t>New Zealand Disability Strategy (2016-2026)</w:t>
      </w:r>
    </w:p>
    <w:p w14:paraId="2C49F5F0" w14:textId="77777777" w:rsidR="008270E8" w:rsidRDefault="4224C032" w:rsidP="4224C032">
      <w:pPr>
        <w:pStyle w:val="ListParagraph"/>
        <w:rPr>
          <w:rFonts w:eastAsia="Arial" w:cs="Arial"/>
          <w:szCs w:val="24"/>
        </w:rPr>
      </w:pPr>
      <w:r w:rsidRPr="4224C032">
        <w:rPr>
          <w:rFonts w:eastAsia="Arial" w:cs="Arial"/>
          <w:szCs w:val="24"/>
        </w:rPr>
        <w:t>Outcome 4 – Rights Protection and Justice</w:t>
      </w:r>
    </w:p>
    <w:p w14:paraId="2C6CCDD5" w14:textId="77777777" w:rsidR="008270E8" w:rsidRDefault="008270E8" w:rsidP="4224C032">
      <w:pPr>
        <w:pStyle w:val="ListParagraph"/>
        <w:rPr>
          <w:rFonts w:eastAsia="Arial" w:cs="Arial"/>
          <w:szCs w:val="24"/>
        </w:rPr>
      </w:pPr>
      <w:r w:rsidRPr="4224C032">
        <w:rPr>
          <w:rFonts w:eastAsia="Arial" w:cs="Arial"/>
          <w:szCs w:val="24"/>
        </w:rPr>
        <w:t>Outcome 7 – Choice and Control</w:t>
      </w:r>
      <w:r w:rsidRPr="4224C032">
        <w:rPr>
          <w:rStyle w:val="EndnoteReference"/>
          <w:rFonts w:eastAsia="Arial" w:cs="Arial"/>
          <w:szCs w:val="24"/>
        </w:rPr>
        <w:endnoteReference w:id="4"/>
      </w:r>
    </w:p>
    <w:p w14:paraId="6F111B10" w14:textId="76A4D806" w:rsidR="00A34EDE" w:rsidRPr="00A34EDE" w:rsidRDefault="4224C032" w:rsidP="4224C032">
      <w:pPr>
        <w:pStyle w:val="Heading2"/>
        <w:ind w:left="0"/>
      </w:pPr>
      <w:r>
        <w:t xml:space="preserve">Abuse in Care – Royal Commission of Inquiry </w:t>
      </w:r>
    </w:p>
    <w:p w14:paraId="26224C27" w14:textId="1B16CF4D" w:rsidR="00A56FEE" w:rsidRPr="006F2712" w:rsidRDefault="4224C032" w:rsidP="4224C032">
      <w:pPr>
        <w:rPr>
          <w:lang w:eastAsia="en-NZ"/>
        </w:rPr>
      </w:pPr>
      <w:r w:rsidRPr="4224C032">
        <w:rPr>
          <w:lang w:eastAsia="en-NZ"/>
        </w:rPr>
        <w:t xml:space="preserve">The investigation into abuse in State and faith-based disability care settings is examining the care of disabled people in multiple settings. The Inquiry has released </w:t>
      </w:r>
      <w:proofErr w:type="gramStart"/>
      <w:r w:rsidRPr="4224C032">
        <w:rPr>
          <w:lang w:eastAsia="en-NZ"/>
        </w:rPr>
        <w:t>a number of</w:t>
      </w:r>
      <w:proofErr w:type="gramEnd"/>
      <w:r w:rsidRPr="4224C032">
        <w:rPr>
          <w:lang w:eastAsia="en-NZ"/>
        </w:rPr>
        <w:t xml:space="preserve"> reports to date and will make recommendations pertinent to the monitoring and independent oversight of care settings for disabled children and young people.  </w:t>
      </w:r>
    </w:p>
    <w:p w14:paraId="4F2E2593" w14:textId="1B0FE084" w:rsidR="00A56FEE" w:rsidRPr="006F2712" w:rsidRDefault="4224C032" w:rsidP="4224C032">
      <w:pPr>
        <w:rPr>
          <w:b/>
          <w:bCs/>
          <w:color w:val="072B62" w:themeColor="background2" w:themeShade="40"/>
          <w:sz w:val="32"/>
          <w:szCs w:val="32"/>
          <w:lang w:eastAsia="en-NZ"/>
        </w:rPr>
      </w:pPr>
      <w:r w:rsidRPr="4224C032">
        <w:rPr>
          <w:b/>
          <w:bCs/>
          <w:color w:val="072B62" w:themeColor="background2" w:themeShade="40"/>
          <w:sz w:val="32"/>
          <w:szCs w:val="32"/>
          <w:lang w:eastAsia="en-NZ"/>
        </w:rPr>
        <w:lastRenderedPageBreak/>
        <w:t xml:space="preserve">The submission </w:t>
      </w:r>
    </w:p>
    <w:p w14:paraId="76630119" w14:textId="6F50D83A" w:rsidR="00A56FEE" w:rsidRDefault="00AC772C" w:rsidP="003E3C38">
      <w:pPr>
        <w:rPr>
          <w:rFonts w:cs="Arial"/>
        </w:rPr>
      </w:pPr>
      <w:r>
        <w:rPr>
          <w:rFonts w:cs="Arial"/>
        </w:rPr>
        <w:t>DPA opposes this Bill in its current form.</w:t>
      </w:r>
    </w:p>
    <w:p w14:paraId="0B842934" w14:textId="71F544C9" w:rsidR="00AC772C" w:rsidRDefault="4224C032" w:rsidP="003E3C38">
      <w:pPr>
        <w:rPr>
          <w:rFonts w:cs="Arial"/>
          <w:color w:val="333333"/>
          <w:lang w:eastAsia="zh-CN"/>
        </w:rPr>
      </w:pPr>
      <w:r w:rsidRPr="4224C032">
        <w:rPr>
          <w:rFonts w:cs="Arial"/>
        </w:rPr>
        <w:t xml:space="preserve">Disabled children and young people are overrepresented in the care and services of the </w:t>
      </w:r>
      <w:proofErr w:type="spellStart"/>
      <w:r w:rsidRPr="4224C032">
        <w:rPr>
          <w:rFonts w:cs="Arial"/>
        </w:rPr>
        <w:t>Oranga</w:t>
      </w:r>
      <w:proofErr w:type="spellEnd"/>
      <w:r w:rsidRPr="4224C032">
        <w:rPr>
          <w:rFonts w:cs="Arial"/>
        </w:rPr>
        <w:t xml:space="preserve"> Tamariki system, any changes to the monitoring and oversight of this system will have a disproportionate impact on the future wellbeing of disabled children and young people and their </w:t>
      </w:r>
      <w:proofErr w:type="spellStart"/>
      <w:r w:rsidRPr="4224C032">
        <w:rPr>
          <w:rFonts w:cs="Arial"/>
          <w:color w:val="333333"/>
          <w:lang w:eastAsia="zh-CN"/>
        </w:rPr>
        <w:t>whānau</w:t>
      </w:r>
      <w:proofErr w:type="spellEnd"/>
      <w:r w:rsidRPr="4224C032">
        <w:rPr>
          <w:rFonts w:cs="Arial"/>
          <w:color w:val="333333"/>
          <w:lang w:eastAsia="zh-CN"/>
        </w:rPr>
        <w:t>.</w:t>
      </w:r>
    </w:p>
    <w:p w14:paraId="6D86779F" w14:textId="3730B02A" w:rsidR="00D45D28" w:rsidRDefault="4224C032" w:rsidP="003E3C38">
      <w:pPr>
        <w:rPr>
          <w:rFonts w:cs="Arial"/>
          <w:color w:val="333333"/>
          <w:lang w:eastAsia="zh-CN"/>
        </w:rPr>
      </w:pPr>
      <w:r w:rsidRPr="4224C032">
        <w:rPr>
          <w:rFonts w:cs="Arial"/>
          <w:color w:val="333333"/>
          <w:lang w:eastAsia="zh-CN"/>
        </w:rPr>
        <w:t xml:space="preserve">DPA is concerned that the Bill ignores many reports on what independent and effective monitoring of the </w:t>
      </w:r>
      <w:proofErr w:type="spellStart"/>
      <w:r w:rsidRPr="4224C032">
        <w:rPr>
          <w:rFonts w:cs="Arial"/>
          <w:color w:val="333333"/>
          <w:lang w:eastAsia="zh-CN"/>
        </w:rPr>
        <w:t>Oranga</w:t>
      </w:r>
      <w:proofErr w:type="spellEnd"/>
      <w:r w:rsidRPr="4224C032">
        <w:rPr>
          <w:rFonts w:cs="Arial"/>
          <w:color w:val="333333"/>
          <w:lang w:eastAsia="zh-CN"/>
        </w:rPr>
        <w:t xml:space="preserve"> Tamariki </w:t>
      </w:r>
      <w:r w:rsidR="00F03CA4">
        <w:rPr>
          <w:rFonts w:cs="Arial"/>
          <w:color w:val="333333"/>
          <w:lang w:eastAsia="zh-CN"/>
        </w:rPr>
        <w:t xml:space="preserve">(OT) </w:t>
      </w:r>
      <w:r w:rsidRPr="4224C032">
        <w:rPr>
          <w:rFonts w:cs="Arial"/>
          <w:color w:val="333333"/>
          <w:lang w:eastAsia="zh-CN"/>
        </w:rPr>
        <w:t>system should look like.</w:t>
      </w:r>
    </w:p>
    <w:p w14:paraId="4ADBE312" w14:textId="226217B9" w:rsidR="00D45D28" w:rsidRDefault="4224C032" w:rsidP="003E3C38">
      <w:pPr>
        <w:rPr>
          <w:rFonts w:cs="Arial"/>
        </w:rPr>
      </w:pPr>
      <w:r w:rsidRPr="4224C032">
        <w:rPr>
          <w:rFonts w:cs="Arial"/>
          <w:color w:val="333333"/>
          <w:lang w:eastAsia="zh-CN"/>
        </w:rPr>
        <w:t xml:space="preserve">If this Bill progresses in its current form, there is a high risk of continuing the </w:t>
      </w:r>
      <w:proofErr w:type="gramStart"/>
      <w:r w:rsidRPr="4224C032">
        <w:rPr>
          <w:rFonts w:cs="Arial"/>
          <w:color w:val="333333"/>
          <w:lang w:eastAsia="zh-CN"/>
        </w:rPr>
        <w:t>five year</w:t>
      </w:r>
      <w:proofErr w:type="gramEnd"/>
      <w:r w:rsidRPr="4224C032">
        <w:rPr>
          <w:rFonts w:cs="Arial"/>
          <w:color w:val="333333"/>
          <w:lang w:eastAsia="zh-CN"/>
        </w:rPr>
        <w:t xml:space="preserve"> cycle of a broken care system given a new name.  To ensure meaningful change, we need an effective watchdog that has authority to independently monitor and protect </w:t>
      </w:r>
      <w:proofErr w:type="spellStart"/>
      <w:r w:rsidRPr="4224C032">
        <w:rPr>
          <w:rFonts w:cs="Arial"/>
          <w:color w:val="333333"/>
          <w:lang w:eastAsia="zh-CN"/>
        </w:rPr>
        <w:t>tamariki</w:t>
      </w:r>
      <w:proofErr w:type="spellEnd"/>
      <w:r w:rsidRPr="4224C032">
        <w:rPr>
          <w:rFonts w:cs="Arial"/>
          <w:color w:val="333333"/>
          <w:lang w:eastAsia="zh-CN"/>
        </w:rPr>
        <w:t xml:space="preserve">, </w:t>
      </w:r>
      <w:proofErr w:type="spellStart"/>
      <w:r w:rsidRPr="4224C032">
        <w:rPr>
          <w:rFonts w:cs="Arial"/>
          <w:color w:val="333333"/>
          <w:lang w:eastAsia="zh-CN"/>
        </w:rPr>
        <w:t>rangatahi</w:t>
      </w:r>
      <w:proofErr w:type="spellEnd"/>
      <w:r w:rsidRPr="4224C032">
        <w:rPr>
          <w:rFonts w:cs="Arial"/>
          <w:color w:val="333333"/>
          <w:lang w:eastAsia="zh-CN"/>
        </w:rPr>
        <w:t xml:space="preserve"> and their </w:t>
      </w:r>
      <w:proofErr w:type="spellStart"/>
      <w:r w:rsidRPr="4224C032">
        <w:rPr>
          <w:rFonts w:cs="Arial"/>
          <w:color w:val="333333"/>
          <w:lang w:eastAsia="zh-CN"/>
        </w:rPr>
        <w:t>whānau</w:t>
      </w:r>
      <w:proofErr w:type="spellEnd"/>
      <w:r w:rsidRPr="4224C032">
        <w:rPr>
          <w:rFonts w:cs="Arial"/>
          <w:color w:val="333333"/>
          <w:lang w:eastAsia="zh-CN"/>
        </w:rPr>
        <w:t xml:space="preserve"> in the </w:t>
      </w:r>
      <w:proofErr w:type="spellStart"/>
      <w:r w:rsidRPr="4224C032">
        <w:rPr>
          <w:rFonts w:cs="Arial"/>
          <w:color w:val="333333"/>
          <w:lang w:eastAsia="zh-CN"/>
        </w:rPr>
        <w:t>Oranga</w:t>
      </w:r>
      <w:proofErr w:type="spellEnd"/>
      <w:r w:rsidRPr="4224C032">
        <w:rPr>
          <w:rFonts w:cs="Arial"/>
          <w:color w:val="333333"/>
          <w:lang w:eastAsia="zh-CN"/>
        </w:rPr>
        <w:t xml:space="preserve"> Tamariki system.</w:t>
      </w:r>
    </w:p>
    <w:p w14:paraId="51955825" w14:textId="4844D352" w:rsidR="00A56FEE" w:rsidRPr="006F2712" w:rsidRDefault="4224C032" w:rsidP="4224C032">
      <w:pPr>
        <w:pStyle w:val="Heading1"/>
        <w:ind w:firstLine="567"/>
      </w:pPr>
      <w:r w:rsidRPr="4224C032">
        <w:rPr>
          <w:sz w:val="32"/>
          <w:szCs w:val="32"/>
        </w:rPr>
        <w:t>Independent Children’s Monitor Lacks Independence</w:t>
      </w:r>
      <w:r>
        <w:t xml:space="preserve"> </w:t>
      </w:r>
    </w:p>
    <w:p w14:paraId="4F30DA86" w14:textId="6974B365" w:rsidR="00A56FEE" w:rsidRPr="006F2712" w:rsidRDefault="4224C032" w:rsidP="4224C032">
      <w:pPr>
        <w:rPr>
          <w:rFonts w:eastAsia="SimSun"/>
          <w:szCs w:val="24"/>
        </w:rPr>
      </w:pPr>
      <w:r w:rsidRPr="4224C032">
        <w:rPr>
          <w:rFonts w:cs="Arial"/>
        </w:rPr>
        <w:t xml:space="preserve">DPA is concerned that if, as proposed in the bill, the Independent Children’s Monitor (ICM) sits alongside the Education Review Office (ERO) then it will lack the essential separation from Government needed to provide effective and </w:t>
      </w:r>
      <w:r w:rsidRPr="4224C032">
        <w:rPr>
          <w:rFonts w:cs="Arial"/>
          <w:b/>
          <w:bCs/>
        </w:rPr>
        <w:t xml:space="preserve">independent </w:t>
      </w:r>
      <w:r w:rsidRPr="4224C032">
        <w:rPr>
          <w:rFonts w:cs="Arial"/>
        </w:rPr>
        <w:t xml:space="preserve">monitoring of OT significant and coercive powers. The contradiction of having the term ‘independent’ in a government agency’s title demonstrates a lack of integrity, </w:t>
      </w:r>
      <w:proofErr w:type="gramStart"/>
      <w:r w:rsidRPr="4224C032">
        <w:rPr>
          <w:rFonts w:cs="Arial"/>
        </w:rPr>
        <w:t>transparency</w:t>
      </w:r>
      <w:proofErr w:type="gramEnd"/>
      <w:r w:rsidRPr="4224C032">
        <w:rPr>
          <w:rFonts w:cs="Arial"/>
        </w:rPr>
        <w:t xml:space="preserve"> and clarity.</w:t>
      </w:r>
    </w:p>
    <w:p w14:paraId="0BE018E0" w14:textId="3CDCEEA2" w:rsidR="00A56FEE" w:rsidRPr="006F2712" w:rsidRDefault="4224C032" w:rsidP="4224C032">
      <w:pPr>
        <w:rPr>
          <w:rFonts w:eastAsia="SimSun"/>
          <w:szCs w:val="24"/>
        </w:rPr>
      </w:pPr>
      <w:r w:rsidRPr="4224C032">
        <w:rPr>
          <w:rFonts w:cs="Arial"/>
        </w:rPr>
        <w:t xml:space="preserve">There are legal requirements making it almost impossible to criticise the Government if you are within a government department.  This makes the ICM’s ability to hold Government agencies to account fundamentally </w:t>
      </w:r>
      <w:proofErr w:type="gramStart"/>
      <w:r w:rsidRPr="4224C032">
        <w:rPr>
          <w:rFonts w:cs="Arial"/>
        </w:rPr>
        <w:t>flawed, and</w:t>
      </w:r>
      <w:proofErr w:type="gramEnd"/>
      <w:r w:rsidRPr="4224C032">
        <w:rPr>
          <w:rFonts w:cs="Arial"/>
        </w:rPr>
        <w:t xml:space="preserve"> does not instil public trust and confidence in how the </w:t>
      </w:r>
      <w:proofErr w:type="spellStart"/>
      <w:r w:rsidRPr="4224C032">
        <w:rPr>
          <w:rFonts w:cs="Arial"/>
        </w:rPr>
        <w:t>Oranga</w:t>
      </w:r>
      <w:proofErr w:type="spellEnd"/>
      <w:r w:rsidRPr="4224C032">
        <w:rPr>
          <w:rFonts w:cs="Arial"/>
        </w:rPr>
        <w:t xml:space="preserve"> Tamariki system will be monitored. </w:t>
      </w:r>
      <w:r>
        <w:t xml:space="preserve"> </w:t>
      </w:r>
    </w:p>
    <w:p w14:paraId="188E41B9" w14:textId="1EF21B9D" w:rsidR="00A56FEE" w:rsidRPr="006F2712" w:rsidRDefault="15175FEE" w:rsidP="15175FEE">
      <w:pPr>
        <w:rPr>
          <w:rFonts w:eastAsia="SimSun"/>
          <w:szCs w:val="24"/>
          <w:lang w:eastAsia="en-NZ"/>
        </w:rPr>
      </w:pPr>
      <w:r w:rsidRPr="15175FEE">
        <w:rPr>
          <w:rFonts w:eastAsia="SimSun"/>
          <w:szCs w:val="24"/>
        </w:rPr>
        <w:t xml:space="preserve">Several previous reports into </w:t>
      </w:r>
      <w:proofErr w:type="spellStart"/>
      <w:r w:rsidRPr="15175FEE">
        <w:rPr>
          <w:rFonts w:eastAsia="SimSun"/>
          <w:szCs w:val="24"/>
        </w:rPr>
        <w:t>Oranga</w:t>
      </w:r>
      <w:proofErr w:type="spellEnd"/>
      <w:r w:rsidRPr="15175FEE">
        <w:rPr>
          <w:rFonts w:eastAsia="SimSun"/>
          <w:szCs w:val="24"/>
        </w:rPr>
        <w:t xml:space="preserve"> Tamariki (EAP, Beatie, MSD and Cabinet reports and papers) have all recommended the ICM should sit under the Office of the Children’s Commissioner (OCC). </w:t>
      </w:r>
    </w:p>
    <w:p w14:paraId="3E81219C" w14:textId="099666DD" w:rsidR="00A56FEE" w:rsidRPr="006F2712" w:rsidRDefault="15175FEE" w:rsidP="4224C032">
      <w:pPr>
        <w:rPr>
          <w:rFonts w:eastAsia="SimSun"/>
          <w:szCs w:val="24"/>
          <w:lang w:eastAsia="en-NZ"/>
        </w:rPr>
      </w:pPr>
      <w:r w:rsidRPr="15175FEE">
        <w:rPr>
          <w:rFonts w:eastAsia="SimSun"/>
          <w:szCs w:val="24"/>
        </w:rPr>
        <w:lastRenderedPageBreak/>
        <w:t>DPA strongly supports this as it ensures the monitor sits within an independent child-focussed rights-body instead of a compliance-driven systems-focussed Government department</w:t>
      </w:r>
      <w:r w:rsidR="00562F5F">
        <w:rPr>
          <w:rFonts w:eastAsia="SimSun"/>
          <w:szCs w:val="24"/>
        </w:rPr>
        <w:t>.</w:t>
      </w:r>
    </w:p>
    <w:p w14:paraId="6E74DA07" w14:textId="2F3D39BA" w:rsidR="00A56FEE" w:rsidRPr="006F2712" w:rsidRDefault="61B9C2F3" w:rsidP="61B9C2F3">
      <w:pPr>
        <w:pStyle w:val="Heading2"/>
        <w:ind w:left="0"/>
        <w:rPr>
          <w:rFonts w:ascii="Arial" w:eastAsia="Arial" w:hAnsi="Arial"/>
          <w:color w:val="auto"/>
          <w:sz w:val="24"/>
          <w:szCs w:val="24"/>
        </w:rPr>
      </w:pPr>
      <w:r>
        <w:t>Recommendation 1</w:t>
      </w:r>
    </w:p>
    <w:p w14:paraId="656216B5" w14:textId="05E9C223" w:rsidR="00A56FEE" w:rsidRPr="006F2712" w:rsidRDefault="61B9C2F3" w:rsidP="61B9C2F3">
      <w:pPr>
        <w:pStyle w:val="Heading2"/>
        <w:ind w:left="0"/>
        <w:rPr>
          <w:rFonts w:ascii="Arial" w:eastAsia="Arial" w:hAnsi="Arial"/>
          <w:color w:val="auto"/>
          <w:sz w:val="24"/>
          <w:szCs w:val="24"/>
        </w:rPr>
      </w:pPr>
      <w:r w:rsidRPr="61B9C2F3">
        <w:rPr>
          <w:rFonts w:ascii="Arial" w:eastAsia="Arial" w:hAnsi="Arial"/>
          <w:color w:val="auto"/>
          <w:sz w:val="24"/>
          <w:szCs w:val="24"/>
        </w:rPr>
        <w:t>DPA strongly urges that the Independent Children’s Monitor sits under the Office of the Children</w:t>
      </w:r>
      <w:r w:rsidR="00A6467F">
        <w:rPr>
          <w:rFonts w:ascii="Arial" w:eastAsia="Arial" w:hAnsi="Arial"/>
          <w:color w:val="auto"/>
          <w:sz w:val="24"/>
          <w:szCs w:val="24"/>
        </w:rPr>
        <w:t>’s</w:t>
      </w:r>
      <w:r w:rsidRPr="61B9C2F3">
        <w:rPr>
          <w:rFonts w:ascii="Arial" w:eastAsia="Arial" w:hAnsi="Arial"/>
          <w:color w:val="auto"/>
          <w:sz w:val="24"/>
          <w:szCs w:val="24"/>
        </w:rPr>
        <w:t xml:space="preserve"> Commissioner.  We see this as fundamental to its effectiveness. </w:t>
      </w:r>
    </w:p>
    <w:p w14:paraId="2B951410" w14:textId="6B3C921E" w:rsidR="00A56FEE" w:rsidRPr="006F2712" w:rsidRDefault="4224C032" w:rsidP="4224C032">
      <w:pPr>
        <w:pStyle w:val="Heading1"/>
        <w:ind w:left="0"/>
        <w:rPr>
          <w:rFonts w:ascii="Arial" w:eastAsia="Arial" w:hAnsi="Arial"/>
          <w:sz w:val="32"/>
          <w:szCs w:val="32"/>
        </w:rPr>
      </w:pPr>
      <w:r w:rsidRPr="4224C032">
        <w:rPr>
          <w:rFonts w:ascii="Arial" w:eastAsia="Arial" w:hAnsi="Arial"/>
          <w:sz w:val="32"/>
          <w:szCs w:val="32"/>
        </w:rPr>
        <w:t xml:space="preserve">Tamariki </w:t>
      </w:r>
      <w:proofErr w:type="gramStart"/>
      <w:r w:rsidRPr="4224C032">
        <w:rPr>
          <w:rFonts w:ascii="Arial" w:eastAsia="Arial" w:hAnsi="Arial"/>
          <w:sz w:val="32"/>
          <w:szCs w:val="32"/>
        </w:rPr>
        <w:t>are</w:t>
      </w:r>
      <w:proofErr w:type="gramEnd"/>
      <w:r w:rsidRPr="4224C032">
        <w:rPr>
          <w:rFonts w:ascii="Arial" w:eastAsia="Arial" w:hAnsi="Arial"/>
          <w:sz w:val="32"/>
          <w:szCs w:val="32"/>
        </w:rPr>
        <w:t xml:space="preserve"> not at the heart of this bill </w:t>
      </w:r>
    </w:p>
    <w:p w14:paraId="629BE039" w14:textId="1ED6CA7B" w:rsidR="00A56FEE" w:rsidRDefault="00C92A65" w:rsidP="00C92A65">
      <w:pPr>
        <w:rPr>
          <w:rFonts w:cs="Arial"/>
        </w:rPr>
      </w:pPr>
      <w:r>
        <w:rPr>
          <w:rFonts w:cs="Arial"/>
        </w:rPr>
        <w:t>DPA is concerned that:</w:t>
      </w:r>
    </w:p>
    <w:p w14:paraId="7341FB7C" w14:textId="5EA75D6A" w:rsidR="00C92A65" w:rsidRDefault="00C92A65" w:rsidP="00B925CB">
      <w:pPr>
        <w:pStyle w:val="ListParagraph"/>
        <w:numPr>
          <w:ilvl w:val="0"/>
          <w:numId w:val="16"/>
        </w:numPr>
        <w:ind w:left="357" w:hanging="357"/>
        <w:rPr>
          <w:rFonts w:cs="Arial"/>
        </w:rPr>
      </w:pPr>
      <w:r>
        <w:rPr>
          <w:rFonts w:cs="Arial"/>
        </w:rPr>
        <w:t>The proposed changes will create an unnecessarily complicated oversight framework focussed on the needs of the “</w:t>
      </w:r>
      <w:proofErr w:type="spellStart"/>
      <w:r>
        <w:rPr>
          <w:rFonts w:cs="Arial"/>
        </w:rPr>
        <w:t>Oranga</w:t>
      </w:r>
      <w:proofErr w:type="spellEnd"/>
      <w:r>
        <w:rPr>
          <w:rFonts w:cs="Arial"/>
        </w:rPr>
        <w:t xml:space="preserve"> Tamariki system” rather than the rights, </w:t>
      </w:r>
      <w:proofErr w:type="gramStart"/>
      <w:r>
        <w:rPr>
          <w:rFonts w:cs="Arial"/>
        </w:rPr>
        <w:t>interests</w:t>
      </w:r>
      <w:proofErr w:type="gramEnd"/>
      <w:r>
        <w:rPr>
          <w:rFonts w:cs="Arial"/>
        </w:rPr>
        <w:t xml:space="preserve"> and wellbeing of </w:t>
      </w:r>
      <w:proofErr w:type="spellStart"/>
      <w:r>
        <w:rPr>
          <w:rFonts w:cs="Arial"/>
        </w:rPr>
        <w:t>tamariki</w:t>
      </w:r>
      <w:proofErr w:type="spellEnd"/>
      <w:r>
        <w:rPr>
          <w:rFonts w:cs="Arial"/>
        </w:rPr>
        <w:t xml:space="preserve"> and their </w:t>
      </w:r>
      <w:proofErr w:type="spellStart"/>
      <w:r w:rsidRPr="00590FA5">
        <w:rPr>
          <w:rFonts w:cs="Arial"/>
          <w:color w:val="333333"/>
          <w:lang w:eastAsia="zh-CN"/>
        </w:rPr>
        <w:t>whānau</w:t>
      </w:r>
      <w:proofErr w:type="spellEnd"/>
      <w:r>
        <w:rPr>
          <w:rFonts w:cs="Arial"/>
        </w:rPr>
        <w:t>.</w:t>
      </w:r>
    </w:p>
    <w:p w14:paraId="55B78C8A" w14:textId="488C1E58" w:rsidR="00B925CB" w:rsidRDefault="4224C032" w:rsidP="00B925CB">
      <w:pPr>
        <w:pStyle w:val="ListParagraph"/>
        <w:numPr>
          <w:ilvl w:val="0"/>
          <w:numId w:val="16"/>
        </w:numPr>
        <w:ind w:left="357" w:hanging="357"/>
        <w:rPr>
          <w:rFonts w:cs="Arial"/>
        </w:rPr>
      </w:pPr>
      <w:r w:rsidRPr="4224C032">
        <w:rPr>
          <w:rFonts w:cs="Arial"/>
        </w:rPr>
        <w:t>There has been a lack of consultation in the process of developing this legislation and there is no guarantee within the Bill for ongoing consultation or having regard to the voices of young people, including young disabled people who have experienced state care.</w:t>
      </w:r>
    </w:p>
    <w:p w14:paraId="3E556F85" w14:textId="04BE6114" w:rsidR="00B925CB" w:rsidRDefault="00B925CB" w:rsidP="00B925CB">
      <w:pPr>
        <w:pStyle w:val="ListParagraph"/>
        <w:numPr>
          <w:ilvl w:val="0"/>
          <w:numId w:val="16"/>
        </w:numPr>
        <w:ind w:left="357" w:hanging="357"/>
        <w:rPr>
          <w:rFonts w:cs="Arial"/>
        </w:rPr>
      </w:pPr>
      <w:r>
        <w:rPr>
          <w:rFonts w:cs="Arial"/>
        </w:rPr>
        <w:t>Not enough time has been given to young people to provide feedback on this Bill, due to the short timeframe and impact of the summer school holidays.  This is particularly true for young disabled people</w:t>
      </w:r>
      <w:r w:rsidR="00345ED6">
        <w:rPr>
          <w:rFonts w:cs="Arial"/>
        </w:rPr>
        <w:t xml:space="preserve">, some of </w:t>
      </w:r>
      <w:proofErr w:type="gramStart"/>
      <w:r w:rsidR="00345ED6">
        <w:rPr>
          <w:rFonts w:cs="Arial"/>
        </w:rPr>
        <w:t>who</w:t>
      </w:r>
      <w:proofErr w:type="gramEnd"/>
      <w:r w:rsidR="00345ED6">
        <w:rPr>
          <w:rFonts w:cs="Arial"/>
        </w:rPr>
        <w:t xml:space="preserve"> may need longer or require support to provide feedback.</w:t>
      </w:r>
    </w:p>
    <w:p w14:paraId="71A8D8AE" w14:textId="4F143939" w:rsidR="00345ED6" w:rsidRDefault="15175FEE" w:rsidP="00345ED6">
      <w:pPr>
        <w:pStyle w:val="Heading2"/>
        <w:spacing w:before="0" w:after="200"/>
        <w:ind w:left="0" w:right="0"/>
      </w:pPr>
      <w:r>
        <w:t xml:space="preserve">Recommendation 2 </w:t>
      </w:r>
    </w:p>
    <w:p w14:paraId="1274763B" w14:textId="76C7A928" w:rsidR="00345ED6" w:rsidRPr="00345ED6" w:rsidRDefault="4224C032" w:rsidP="00345ED6">
      <w:pPr>
        <w:rPr>
          <w:lang w:eastAsia="en-NZ"/>
        </w:rPr>
      </w:pPr>
      <w:r w:rsidRPr="4224C032">
        <w:rPr>
          <w:lang w:eastAsia="en-NZ"/>
        </w:rPr>
        <w:t>DPA recommends that greater engagement with young people happens before this Bill is progressed any further.  Provision for ongoing engagement with young people must also be included in the Bill; and all necessary supports to enable young disabled people to be fully engaged must be resourced and provided.</w:t>
      </w:r>
    </w:p>
    <w:p w14:paraId="7ED93D8E" w14:textId="17738B01" w:rsidR="00A56FEE" w:rsidRPr="007C2FBC" w:rsidRDefault="4224C032" w:rsidP="4224C032">
      <w:pPr>
        <w:pStyle w:val="Heading1"/>
        <w:pBdr>
          <w:bottom w:val="single" w:sz="6" w:space="0" w:color="A2A9B1"/>
        </w:pBdr>
        <w:ind w:firstLine="567"/>
        <w:rPr>
          <w:rFonts w:ascii="Georgia" w:hAnsi="Georgia"/>
          <w:b w:val="0"/>
          <w:color w:val="000000"/>
          <w:sz w:val="32"/>
          <w:szCs w:val="32"/>
        </w:rPr>
      </w:pPr>
      <w:r w:rsidRPr="4224C032">
        <w:rPr>
          <w:sz w:val="32"/>
          <w:szCs w:val="32"/>
        </w:rPr>
        <w:t>Token M</w:t>
      </w:r>
      <w:r w:rsidRPr="4224C032">
        <w:rPr>
          <w:rFonts w:ascii="Calibri" w:hAnsi="Calibri" w:cs="Calibri"/>
          <w:sz w:val="32"/>
          <w:szCs w:val="32"/>
        </w:rPr>
        <w:t>ā</w:t>
      </w:r>
      <w:r w:rsidRPr="4224C032">
        <w:rPr>
          <w:sz w:val="32"/>
          <w:szCs w:val="32"/>
        </w:rPr>
        <w:t xml:space="preserve">ori partnership </w:t>
      </w:r>
    </w:p>
    <w:p w14:paraId="665FD380" w14:textId="6B85DB82" w:rsidR="00073A38" w:rsidRDefault="00073A38" w:rsidP="00CF5F49">
      <w:r>
        <w:t>DPA is concerned that:</w:t>
      </w:r>
    </w:p>
    <w:p w14:paraId="450DF4CD" w14:textId="3BAEF653" w:rsidR="00CF5F49" w:rsidRPr="00053FDF" w:rsidRDefault="00CF5F49" w:rsidP="00CF5F49">
      <w:pPr>
        <w:pStyle w:val="ListParagraph"/>
        <w:numPr>
          <w:ilvl w:val="0"/>
          <w:numId w:val="20"/>
        </w:numPr>
        <w:ind w:left="357" w:hanging="357"/>
        <w:rPr>
          <w:rFonts w:ascii="Times New Roman" w:eastAsia="Times New Roman" w:hAnsi="Times New Roman" w:cs="Times New Roman"/>
          <w:szCs w:val="24"/>
          <w:lang w:eastAsia="en-GB"/>
        </w:rPr>
      </w:pPr>
      <w:r>
        <w:lastRenderedPageBreak/>
        <w:t xml:space="preserve">The ICM is proposed to have a </w:t>
      </w:r>
      <w:r w:rsidRPr="00CF5F49">
        <w:rPr>
          <w:rFonts w:eastAsia="Times New Roman" w:cs="Arial"/>
          <w:color w:val="102B26"/>
          <w:szCs w:val="24"/>
          <w:lang w:eastAsia="en-GB"/>
        </w:rPr>
        <w:t>Māori </w:t>
      </w:r>
      <w:r>
        <w:rPr>
          <w:rFonts w:eastAsia="Times New Roman" w:cs="Arial"/>
          <w:color w:val="102B26"/>
          <w:szCs w:val="24"/>
          <w:lang w:eastAsia="en-GB"/>
        </w:rPr>
        <w:t>Advisory Board made up of members with</w:t>
      </w:r>
      <w:r w:rsidR="00053FDF">
        <w:rPr>
          <w:rFonts w:eastAsia="Times New Roman" w:cs="Arial"/>
          <w:color w:val="102B26"/>
          <w:szCs w:val="24"/>
          <w:lang w:eastAsia="en-GB"/>
        </w:rPr>
        <w:t xml:space="preserve"> “experience and knowledge of tikanga </w:t>
      </w:r>
      <w:r w:rsidR="00053FDF" w:rsidRPr="00CF5F49">
        <w:rPr>
          <w:rFonts w:eastAsia="Times New Roman" w:cs="Arial"/>
          <w:color w:val="102B26"/>
          <w:szCs w:val="24"/>
          <w:lang w:eastAsia="en-GB"/>
        </w:rPr>
        <w:t>Māori</w:t>
      </w:r>
      <w:r w:rsidR="00053FDF">
        <w:rPr>
          <w:rFonts w:eastAsia="Times New Roman" w:cs="Arial"/>
          <w:color w:val="102B26"/>
          <w:szCs w:val="24"/>
          <w:lang w:eastAsia="en-GB"/>
        </w:rPr>
        <w:t xml:space="preserve">” – this is token and does not provide adequate application of, or commitment to, Te </w:t>
      </w:r>
      <w:proofErr w:type="spellStart"/>
      <w:r w:rsidR="00053FDF">
        <w:rPr>
          <w:rFonts w:eastAsia="Times New Roman" w:cs="Arial"/>
          <w:color w:val="102B26"/>
          <w:szCs w:val="24"/>
          <w:lang w:eastAsia="en-GB"/>
        </w:rPr>
        <w:t>Tiriti</w:t>
      </w:r>
      <w:proofErr w:type="spellEnd"/>
      <w:r w:rsidR="00053FDF">
        <w:rPr>
          <w:rFonts w:eastAsia="Times New Roman" w:cs="Arial"/>
          <w:color w:val="102B26"/>
          <w:szCs w:val="24"/>
          <w:lang w:eastAsia="en-GB"/>
        </w:rPr>
        <w:t xml:space="preserve"> o Waitangi.</w:t>
      </w:r>
    </w:p>
    <w:p w14:paraId="422C94E3" w14:textId="1A6BB434" w:rsidR="00053FDF" w:rsidRPr="00053FDF" w:rsidRDefault="00053FDF" w:rsidP="00CF5F49">
      <w:pPr>
        <w:pStyle w:val="ListParagraph"/>
        <w:numPr>
          <w:ilvl w:val="0"/>
          <w:numId w:val="20"/>
        </w:numPr>
        <w:ind w:left="357" w:hanging="357"/>
        <w:rPr>
          <w:rFonts w:ascii="Times New Roman" w:eastAsia="Times New Roman" w:hAnsi="Times New Roman" w:cs="Times New Roman"/>
          <w:szCs w:val="24"/>
          <w:lang w:eastAsia="en-GB"/>
        </w:rPr>
      </w:pPr>
      <w:r>
        <w:rPr>
          <w:rFonts w:eastAsia="Times New Roman" w:cs="Arial"/>
          <w:color w:val="102B26"/>
          <w:szCs w:val="24"/>
          <w:lang w:eastAsia="en-GB"/>
        </w:rPr>
        <w:t xml:space="preserve">The new Children and Young People’s Commission is proposed to be governed by a Board with at least half the members “having </w:t>
      </w:r>
      <w:r w:rsidRPr="00CF5F49">
        <w:rPr>
          <w:rFonts w:eastAsia="Times New Roman" w:cs="Arial"/>
          <w:color w:val="102B26"/>
          <w:szCs w:val="24"/>
          <w:lang w:eastAsia="en-GB"/>
        </w:rPr>
        <w:t>Māori</w:t>
      </w:r>
      <w:r>
        <w:rPr>
          <w:rFonts w:eastAsia="Times New Roman" w:cs="Arial"/>
          <w:color w:val="102B26"/>
          <w:szCs w:val="24"/>
          <w:lang w:eastAsia="en-GB"/>
        </w:rPr>
        <w:t xml:space="preserve"> knowledge; and experience in, and knowledge of, tikanga </w:t>
      </w:r>
      <w:r w:rsidRPr="00CF5F49">
        <w:rPr>
          <w:rFonts w:eastAsia="Times New Roman" w:cs="Arial"/>
          <w:color w:val="102B26"/>
          <w:szCs w:val="24"/>
          <w:lang w:eastAsia="en-GB"/>
        </w:rPr>
        <w:t>Māori</w:t>
      </w:r>
      <w:r>
        <w:rPr>
          <w:rFonts w:eastAsia="Times New Roman" w:cs="Arial"/>
          <w:color w:val="102B26"/>
          <w:szCs w:val="24"/>
          <w:lang w:eastAsia="en-GB"/>
        </w:rPr>
        <w:t>”.</w:t>
      </w:r>
    </w:p>
    <w:p w14:paraId="30ECDD33" w14:textId="158600B6" w:rsidR="00053FDF" w:rsidRDefault="15175FEE" w:rsidP="00053FDF">
      <w:pPr>
        <w:pStyle w:val="Heading2"/>
        <w:ind w:left="0"/>
      </w:pPr>
      <w:r>
        <w:t>Recommendation 3</w:t>
      </w:r>
    </w:p>
    <w:p w14:paraId="0942F288" w14:textId="27FCBC78" w:rsidR="00CF5F49" w:rsidRPr="00CF5F49" w:rsidRDefault="15175FEE" w:rsidP="001A4858">
      <w:pPr>
        <w:rPr>
          <w:lang w:eastAsia="en-NZ"/>
        </w:rPr>
      </w:pPr>
      <w:r w:rsidRPr="15175FEE">
        <w:rPr>
          <w:lang w:eastAsia="en-NZ"/>
        </w:rPr>
        <w:t xml:space="preserve">DPA recommends at least 50% of the Commission Board must whakapapa </w:t>
      </w:r>
      <w:r w:rsidRPr="15175FEE">
        <w:rPr>
          <w:rFonts w:eastAsia="Times New Roman" w:cs="Arial"/>
          <w:color w:val="102B26"/>
          <w:lang w:eastAsia="en-GB"/>
        </w:rPr>
        <w:t>Māori and that the ICM should adopt a governance structure that reflects true partnership with Māori.</w:t>
      </w:r>
    </w:p>
    <w:p w14:paraId="1A53BDF6" w14:textId="18FD9969" w:rsidR="00A56FEE" w:rsidRPr="006F2712" w:rsidRDefault="4224C032" w:rsidP="4224C032">
      <w:pPr>
        <w:pStyle w:val="Heading1"/>
        <w:ind w:firstLine="567"/>
        <w:rPr>
          <w:rFonts w:ascii="Arial" w:eastAsia="Arial" w:hAnsi="Arial"/>
          <w:sz w:val="32"/>
          <w:szCs w:val="32"/>
        </w:rPr>
      </w:pPr>
      <w:r w:rsidRPr="4224C032">
        <w:rPr>
          <w:rFonts w:ascii="Arial" w:eastAsia="Arial" w:hAnsi="Arial"/>
          <w:sz w:val="32"/>
          <w:szCs w:val="32"/>
        </w:rPr>
        <w:t>No Powers to Enforce Accountability</w:t>
      </w:r>
    </w:p>
    <w:p w14:paraId="0CC2701D" w14:textId="79EC6DF8" w:rsidR="00A56FEE" w:rsidRDefault="00974AB8" w:rsidP="003E3C38">
      <w:pPr>
        <w:rPr>
          <w:rFonts w:cs="Arial"/>
        </w:rPr>
      </w:pPr>
      <w:r>
        <w:rPr>
          <w:rFonts w:cs="Arial"/>
        </w:rPr>
        <w:t>DPA is concerned that:</w:t>
      </w:r>
    </w:p>
    <w:p w14:paraId="7E43B6EE" w14:textId="518C4E58" w:rsidR="00974AB8" w:rsidRDefault="4224C032" w:rsidP="00974AB8">
      <w:pPr>
        <w:pStyle w:val="ListParagraph"/>
        <w:numPr>
          <w:ilvl w:val="0"/>
          <w:numId w:val="21"/>
        </w:numPr>
        <w:ind w:left="357" w:hanging="357"/>
        <w:rPr>
          <w:rFonts w:cs="Arial"/>
        </w:rPr>
      </w:pPr>
      <w:r w:rsidRPr="4224C032">
        <w:rPr>
          <w:rFonts w:cs="Arial"/>
        </w:rPr>
        <w:t>The proposed oversight system lacks the power to enforce accountability, an independent monitor must be able to speak out when poor or harmful practice is identified.</w:t>
      </w:r>
    </w:p>
    <w:p w14:paraId="050E6BA7" w14:textId="26FAABD1" w:rsidR="00974AB8" w:rsidRDefault="00974AB8" w:rsidP="00974AB8">
      <w:pPr>
        <w:pStyle w:val="ListParagraph"/>
        <w:numPr>
          <w:ilvl w:val="0"/>
          <w:numId w:val="21"/>
        </w:numPr>
        <w:ind w:left="357" w:hanging="357"/>
        <w:rPr>
          <w:rFonts w:cs="Arial"/>
        </w:rPr>
      </w:pPr>
      <w:r>
        <w:rPr>
          <w:rFonts w:cs="Arial"/>
        </w:rPr>
        <w:t>The proposed role of the ICM focuses on service compliance rather than rights-based monitoring of a system.</w:t>
      </w:r>
    </w:p>
    <w:p w14:paraId="799E2EAA" w14:textId="4F9D52F3" w:rsidR="00974AB8" w:rsidRDefault="00974AB8" w:rsidP="00974AB8">
      <w:pPr>
        <w:pStyle w:val="ListParagraph"/>
        <w:numPr>
          <w:ilvl w:val="0"/>
          <w:numId w:val="21"/>
        </w:numPr>
        <w:ind w:left="357" w:hanging="357"/>
        <w:rPr>
          <w:rFonts w:cs="Arial"/>
        </w:rPr>
      </w:pPr>
      <w:r>
        <w:rPr>
          <w:rFonts w:cs="Arial"/>
        </w:rPr>
        <w:t xml:space="preserve">Without true independence, the ICM can’t objectively assess the use of ‘coercive powers’ by the </w:t>
      </w:r>
      <w:proofErr w:type="spellStart"/>
      <w:r>
        <w:rPr>
          <w:rFonts w:cs="Arial"/>
        </w:rPr>
        <w:t>Oranga</w:t>
      </w:r>
      <w:proofErr w:type="spellEnd"/>
      <w:r>
        <w:rPr>
          <w:rFonts w:cs="Arial"/>
        </w:rPr>
        <w:t xml:space="preserve"> Tamariki system to ensure rights are upheld.</w:t>
      </w:r>
    </w:p>
    <w:p w14:paraId="6184026D" w14:textId="088CA6FF" w:rsidR="00974AB8" w:rsidRDefault="00974AB8" w:rsidP="00974AB8">
      <w:pPr>
        <w:pStyle w:val="ListParagraph"/>
        <w:numPr>
          <w:ilvl w:val="0"/>
          <w:numId w:val="21"/>
        </w:numPr>
        <w:ind w:left="357" w:hanging="357"/>
        <w:rPr>
          <w:rFonts w:cs="Arial"/>
        </w:rPr>
      </w:pPr>
      <w:r>
        <w:rPr>
          <w:rFonts w:cs="Arial"/>
        </w:rPr>
        <w:t xml:space="preserve">No clear feedback mechanisms which would drive ongoing strengthening </w:t>
      </w:r>
      <w:r w:rsidR="00FB1B9A">
        <w:rPr>
          <w:rFonts w:cs="Arial"/>
        </w:rPr>
        <w:t xml:space="preserve">of </w:t>
      </w:r>
      <w:proofErr w:type="spellStart"/>
      <w:r w:rsidR="00FB1B9A">
        <w:rPr>
          <w:rFonts w:cs="Arial"/>
        </w:rPr>
        <w:t>Oranga</w:t>
      </w:r>
      <w:proofErr w:type="spellEnd"/>
      <w:r w:rsidR="00FB1B9A">
        <w:rPr>
          <w:rFonts w:cs="Arial"/>
        </w:rPr>
        <w:t xml:space="preserve"> Tamariki and other related (education, health) systems for </w:t>
      </w:r>
      <w:proofErr w:type="spellStart"/>
      <w:r w:rsidR="00FB1B9A">
        <w:rPr>
          <w:rFonts w:cs="Arial"/>
        </w:rPr>
        <w:t>tamariki</w:t>
      </w:r>
      <w:proofErr w:type="spellEnd"/>
      <w:r w:rsidR="00FB1B9A">
        <w:rPr>
          <w:rFonts w:cs="Arial"/>
        </w:rPr>
        <w:t xml:space="preserve"> and </w:t>
      </w:r>
      <w:proofErr w:type="spellStart"/>
      <w:r w:rsidR="00FB1B9A">
        <w:rPr>
          <w:rFonts w:cs="Arial"/>
        </w:rPr>
        <w:t>rangatahi</w:t>
      </w:r>
      <w:proofErr w:type="spellEnd"/>
      <w:r w:rsidR="00FB1B9A">
        <w:rPr>
          <w:rFonts w:cs="Arial"/>
        </w:rPr>
        <w:t>.</w:t>
      </w:r>
    </w:p>
    <w:p w14:paraId="16EF3352" w14:textId="0050B303" w:rsidR="00FB1B9A" w:rsidRDefault="00FB1B9A" w:rsidP="00974AB8">
      <w:pPr>
        <w:pStyle w:val="ListParagraph"/>
        <w:numPr>
          <w:ilvl w:val="0"/>
          <w:numId w:val="21"/>
        </w:numPr>
        <w:ind w:left="357" w:hanging="357"/>
        <w:rPr>
          <w:rFonts w:cs="Arial"/>
        </w:rPr>
      </w:pPr>
      <w:r>
        <w:rPr>
          <w:rFonts w:cs="Arial"/>
        </w:rPr>
        <w:t>Limits to the Monitor’s powers of entry to carry out monitoring duties in places housing young people and children in care.  This creates loopholes that could easily be abused and prevent unsafe practice and abuse from being identified.</w:t>
      </w:r>
    </w:p>
    <w:p w14:paraId="32F028D9" w14:textId="6B997900" w:rsidR="00FB1B9A" w:rsidRDefault="15175FEE" w:rsidP="00FB1B9A">
      <w:pPr>
        <w:pStyle w:val="Heading2"/>
        <w:ind w:left="0"/>
      </w:pPr>
      <w:r>
        <w:t>Recommendation 4</w:t>
      </w:r>
    </w:p>
    <w:p w14:paraId="082E0584" w14:textId="22D4402F" w:rsidR="00FB1B9A" w:rsidRPr="00FB1B9A" w:rsidRDefault="7FFBC94D" w:rsidP="00FB1B9A">
      <w:pPr>
        <w:rPr>
          <w:lang w:eastAsia="en-NZ"/>
        </w:rPr>
      </w:pPr>
      <w:r w:rsidRPr="7FFBC94D">
        <w:rPr>
          <w:lang w:eastAsia="en-NZ"/>
        </w:rPr>
        <w:lastRenderedPageBreak/>
        <w:t>DPA recommends that the ICM has strong powers to enforce accountability, including unrestricted power of entry with clear feedback loops for all key stakeholders.</w:t>
      </w:r>
    </w:p>
    <w:p w14:paraId="761F413D" w14:textId="7C2CC806" w:rsidR="007C2FBC" w:rsidRPr="006F2712" w:rsidRDefault="4224C032" w:rsidP="4224C032">
      <w:pPr>
        <w:pStyle w:val="Heading1"/>
        <w:ind w:firstLine="567"/>
      </w:pPr>
      <w:r w:rsidRPr="4224C032">
        <w:rPr>
          <w:rFonts w:ascii="Arial" w:eastAsia="Arial" w:hAnsi="Arial"/>
          <w:sz w:val="32"/>
          <w:szCs w:val="32"/>
        </w:rPr>
        <w:t>Monitoring, Complaints and Advocacy</w:t>
      </w:r>
      <w:r>
        <w:t xml:space="preserve"> </w:t>
      </w:r>
    </w:p>
    <w:p w14:paraId="3BCE5853" w14:textId="527D04D4" w:rsidR="007C2FBC" w:rsidRDefault="00FB1B9A" w:rsidP="003E3C38">
      <w:pPr>
        <w:rPr>
          <w:rFonts w:cs="Arial"/>
        </w:rPr>
      </w:pPr>
      <w:r>
        <w:rPr>
          <w:rFonts w:cs="Arial"/>
        </w:rPr>
        <w:t>DPA is concerned that:</w:t>
      </w:r>
    </w:p>
    <w:p w14:paraId="212F242A" w14:textId="12725FDF" w:rsidR="00FB1B9A" w:rsidRDefault="4224C032" w:rsidP="00FB1B9A">
      <w:pPr>
        <w:pStyle w:val="ListParagraph"/>
        <w:numPr>
          <w:ilvl w:val="0"/>
          <w:numId w:val="22"/>
        </w:numPr>
        <w:ind w:left="357" w:hanging="357"/>
        <w:rPr>
          <w:rFonts w:cs="Arial"/>
        </w:rPr>
      </w:pPr>
      <w:r w:rsidRPr="4224C032">
        <w:rPr>
          <w:rFonts w:cs="Arial"/>
        </w:rPr>
        <w:t xml:space="preserve">By keeping monitoring, complaints and advocacy functions separate, relevant information and processes end up siloed and this will have the effect of both reducing the effectiveness of each function and of delaying outcomes for </w:t>
      </w:r>
      <w:proofErr w:type="spellStart"/>
      <w:r w:rsidRPr="4224C032">
        <w:rPr>
          <w:rFonts w:cs="Arial"/>
        </w:rPr>
        <w:t>tamariki</w:t>
      </w:r>
      <w:proofErr w:type="spellEnd"/>
      <w:r w:rsidRPr="4224C032">
        <w:rPr>
          <w:rFonts w:cs="Arial"/>
        </w:rPr>
        <w:t xml:space="preserve"> and </w:t>
      </w:r>
      <w:proofErr w:type="spellStart"/>
      <w:r w:rsidRPr="4224C032">
        <w:rPr>
          <w:rFonts w:cs="Arial"/>
        </w:rPr>
        <w:t>rangatahi</w:t>
      </w:r>
      <w:proofErr w:type="spellEnd"/>
      <w:r w:rsidRPr="4224C032">
        <w:rPr>
          <w:rFonts w:cs="Arial"/>
        </w:rPr>
        <w:t xml:space="preserve">.  Having these three functions side by side is recommended by the United Nations Committee on the Rights of the Child and has been found to increase accountability and effectiveness in other jurisdictions.  </w:t>
      </w:r>
    </w:p>
    <w:p w14:paraId="662C2DC2" w14:textId="29072564" w:rsidR="009D3ED8" w:rsidRDefault="009D3ED8" w:rsidP="00FB1B9A">
      <w:pPr>
        <w:pStyle w:val="ListParagraph"/>
        <w:numPr>
          <w:ilvl w:val="0"/>
          <w:numId w:val="22"/>
        </w:numPr>
        <w:ind w:left="357" w:hanging="357"/>
        <w:rPr>
          <w:rFonts w:cs="Arial"/>
        </w:rPr>
      </w:pPr>
      <w:r>
        <w:rPr>
          <w:rFonts w:cs="Arial"/>
        </w:rPr>
        <w:t>UN guidance states that National Human Rights Institutions (NHRI) “should be able, independently and effectively, to monitor, promote and protect children’s rights” and that “their mandate should include as broad a scope as possible for promoting and protecting human rights”.</w:t>
      </w:r>
      <w:r w:rsidR="00911569">
        <w:rPr>
          <w:rStyle w:val="EndnoteReference"/>
          <w:rFonts w:cs="Arial"/>
        </w:rPr>
        <w:endnoteReference w:id="5"/>
      </w:r>
    </w:p>
    <w:p w14:paraId="5B1F2F19" w14:textId="76510CF5" w:rsidR="009D3ED8" w:rsidRDefault="15175FEE" w:rsidP="009D3ED8">
      <w:pPr>
        <w:pStyle w:val="Heading2"/>
        <w:ind w:left="0"/>
      </w:pPr>
      <w:r>
        <w:t>Recommendation 5</w:t>
      </w:r>
    </w:p>
    <w:p w14:paraId="06602B50" w14:textId="35AB9614" w:rsidR="009D3ED8" w:rsidRPr="009D3ED8" w:rsidRDefault="4224C032" w:rsidP="009D3ED8">
      <w:pPr>
        <w:rPr>
          <w:lang w:eastAsia="en-NZ"/>
        </w:rPr>
      </w:pPr>
      <w:r w:rsidRPr="4224C032">
        <w:rPr>
          <w:lang w:eastAsia="en-NZ"/>
        </w:rPr>
        <w:t xml:space="preserve">DPA recommends that monitoring, complaints and advocacy functions be brought together to be most effective at monitoring, protecting and promoting the rights of </w:t>
      </w:r>
      <w:proofErr w:type="spellStart"/>
      <w:proofErr w:type="gramStart"/>
      <w:r w:rsidRPr="4224C032">
        <w:rPr>
          <w:lang w:eastAsia="en-NZ"/>
        </w:rPr>
        <w:t>tamariki</w:t>
      </w:r>
      <w:proofErr w:type="spellEnd"/>
      <w:r w:rsidRPr="4224C032">
        <w:rPr>
          <w:lang w:eastAsia="en-NZ"/>
        </w:rPr>
        <w:t xml:space="preserve">  and</w:t>
      </w:r>
      <w:proofErr w:type="gramEnd"/>
      <w:r w:rsidRPr="4224C032">
        <w:rPr>
          <w:lang w:eastAsia="en-NZ"/>
        </w:rPr>
        <w:t xml:space="preserve"> </w:t>
      </w:r>
      <w:proofErr w:type="spellStart"/>
      <w:r w:rsidRPr="4224C032">
        <w:rPr>
          <w:lang w:eastAsia="en-NZ"/>
        </w:rPr>
        <w:t>rangatahi</w:t>
      </w:r>
      <w:proofErr w:type="spellEnd"/>
      <w:r w:rsidRPr="4224C032">
        <w:rPr>
          <w:lang w:eastAsia="en-NZ"/>
        </w:rPr>
        <w:t>.</w:t>
      </w:r>
    </w:p>
    <w:p w14:paraId="3BB6D389" w14:textId="6A0590A8" w:rsidR="007C2FBC" w:rsidRPr="006F2712" w:rsidRDefault="15175FEE" w:rsidP="27EFAA53">
      <w:pPr>
        <w:pStyle w:val="Heading1"/>
        <w:ind w:left="0"/>
        <w:rPr>
          <w:rFonts w:ascii="Arial" w:eastAsia="Arial" w:hAnsi="Arial"/>
          <w:sz w:val="32"/>
          <w:szCs w:val="32"/>
        </w:rPr>
      </w:pPr>
      <w:r w:rsidRPr="15175FEE">
        <w:rPr>
          <w:rFonts w:ascii="Arial" w:eastAsia="Arial" w:hAnsi="Arial"/>
          <w:sz w:val="32"/>
          <w:szCs w:val="32"/>
        </w:rPr>
        <w:t xml:space="preserve">Complaints sitting in an adult-orientated system  </w:t>
      </w:r>
    </w:p>
    <w:p w14:paraId="0BD9C067" w14:textId="55BED8BC" w:rsidR="007C2FBC" w:rsidRDefault="00720AF9" w:rsidP="003E3C38">
      <w:pPr>
        <w:rPr>
          <w:rFonts w:cs="Arial"/>
        </w:rPr>
      </w:pPr>
      <w:r>
        <w:rPr>
          <w:rFonts w:cs="Arial"/>
        </w:rPr>
        <w:t>DPA is concerned that:</w:t>
      </w:r>
    </w:p>
    <w:p w14:paraId="158D7A51" w14:textId="21641B36" w:rsidR="00720AF9" w:rsidRPr="00104711" w:rsidRDefault="15175FEE" w:rsidP="15175FEE">
      <w:pPr>
        <w:pStyle w:val="ListParagraph"/>
        <w:numPr>
          <w:ilvl w:val="0"/>
          <w:numId w:val="23"/>
        </w:numPr>
        <w:ind w:left="357" w:hanging="357"/>
        <w:rPr>
          <w:rFonts w:asciiTheme="minorHAnsi" w:hAnsiTheme="minorHAnsi"/>
          <w:szCs w:val="24"/>
        </w:rPr>
      </w:pPr>
      <w:r w:rsidRPr="15175FEE">
        <w:rPr>
          <w:rFonts w:cs="Arial"/>
        </w:rPr>
        <w:t xml:space="preserve">The proposed complaints system ignores multiple reports </w:t>
      </w:r>
      <w:r w:rsidRPr="15175FEE">
        <w:rPr>
          <w:rFonts w:cs="Arial"/>
          <w:color w:val="333333"/>
          <w:lang w:eastAsia="zh-CN"/>
        </w:rPr>
        <w:t>(Beatie 2018; Royal Commission Abuse in Care 2021; UNCRC 2002, 2016, 2020)</w:t>
      </w:r>
      <w:r w:rsidRPr="15175FEE">
        <w:rPr>
          <w:rFonts w:cs="Arial"/>
        </w:rPr>
        <w:t xml:space="preserve"> that have highlighted the need for simplification, streamlining and improved access for </w:t>
      </w:r>
      <w:proofErr w:type="spellStart"/>
      <w:r w:rsidRPr="15175FEE">
        <w:rPr>
          <w:rFonts w:cs="Arial"/>
        </w:rPr>
        <w:t>tamariki</w:t>
      </w:r>
      <w:proofErr w:type="spellEnd"/>
      <w:r w:rsidRPr="15175FEE">
        <w:rPr>
          <w:rFonts w:cs="Arial"/>
        </w:rPr>
        <w:t xml:space="preserve">, </w:t>
      </w:r>
      <w:proofErr w:type="spellStart"/>
      <w:r w:rsidRPr="15175FEE">
        <w:rPr>
          <w:rFonts w:cs="Arial"/>
        </w:rPr>
        <w:t>rangatahi</w:t>
      </w:r>
      <w:proofErr w:type="spellEnd"/>
      <w:r w:rsidRPr="15175FEE">
        <w:rPr>
          <w:rFonts w:cs="Arial"/>
        </w:rPr>
        <w:t xml:space="preserve"> and their </w:t>
      </w:r>
      <w:proofErr w:type="spellStart"/>
      <w:proofErr w:type="gramStart"/>
      <w:r w:rsidRPr="15175FEE">
        <w:rPr>
          <w:rFonts w:cs="Arial"/>
          <w:color w:val="333333"/>
          <w:lang w:eastAsia="zh-CN"/>
        </w:rPr>
        <w:t>whānau</w:t>
      </w:r>
      <w:proofErr w:type="spellEnd"/>
      <w:r w:rsidRPr="15175FEE">
        <w:rPr>
          <w:rFonts w:cs="Arial"/>
          <w:color w:val="333333"/>
          <w:lang w:eastAsia="zh-CN"/>
        </w:rPr>
        <w:t xml:space="preserve"> .</w:t>
      </w:r>
      <w:proofErr w:type="gramEnd"/>
    </w:p>
    <w:p w14:paraId="41710F1C" w14:textId="72390AE2" w:rsidR="00104711" w:rsidRPr="00104711" w:rsidRDefault="7FFBC94D" w:rsidP="00720AF9">
      <w:pPr>
        <w:pStyle w:val="ListParagraph"/>
        <w:numPr>
          <w:ilvl w:val="0"/>
          <w:numId w:val="23"/>
        </w:numPr>
        <w:ind w:left="357" w:hanging="357"/>
        <w:rPr>
          <w:rFonts w:cs="Arial"/>
        </w:rPr>
      </w:pPr>
      <w:r w:rsidRPr="7FFBC94D">
        <w:rPr>
          <w:rFonts w:cs="Arial"/>
          <w:color w:val="333333"/>
          <w:lang w:eastAsia="zh-CN"/>
        </w:rPr>
        <w:lastRenderedPageBreak/>
        <w:t>The Ombudsman is not a child-centred entity – the OCC was established because the needs and rights of children and young people require special attention and protection.</w:t>
      </w:r>
    </w:p>
    <w:p w14:paraId="11636568" w14:textId="3247E722" w:rsidR="00104711" w:rsidRDefault="15175FEE" w:rsidP="00104711">
      <w:pPr>
        <w:pStyle w:val="Heading2"/>
        <w:ind w:left="0"/>
      </w:pPr>
      <w:r>
        <w:t>Recommendation 6</w:t>
      </w:r>
    </w:p>
    <w:p w14:paraId="091F3AB5" w14:textId="1BACD082" w:rsidR="00104711" w:rsidRPr="00104711" w:rsidRDefault="15175FEE" w:rsidP="00104711">
      <w:pPr>
        <w:rPr>
          <w:lang w:eastAsia="en-NZ"/>
        </w:rPr>
      </w:pPr>
      <w:r w:rsidRPr="15175FEE">
        <w:rPr>
          <w:lang w:eastAsia="en-NZ"/>
        </w:rPr>
        <w:t xml:space="preserve">DPA recommends that a child-oriented agency (such as the Office of the Children’s Commissioner) manage complaints about </w:t>
      </w:r>
      <w:proofErr w:type="spellStart"/>
      <w:r w:rsidRPr="15175FEE">
        <w:rPr>
          <w:lang w:eastAsia="en-NZ"/>
        </w:rPr>
        <w:t>Oranga</w:t>
      </w:r>
      <w:proofErr w:type="spellEnd"/>
      <w:r w:rsidRPr="15175FEE">
        <w:rPr>
          <w:lang w:eastAsia="en-NZ"/>
        </w:rPr>
        <w:t xml:space="preserve"> Tamariki.</w:t>
      </w:r>
    </w:p>
    <w:p w14:paraId="7CA55881" w14:textId="1CE2DB90" w:rsidR="007C2FBC" w:rsidRPr="006F2712" w:rsidRDefault="27EFAA53" w:rsidP="27EFAA53">
      <w:pPr>
        <w:pStyle w:val="Heading1"/>
        <w:ind w:firstLine="567"/>
      </w:pPr>
      <w:r>
        <w:t xml:space="preserve">Conclusion </w:t>
      </w:r>
    </w:p>
    <w:p w14:paraId="3167F817" w14:textId="27EB3C09" w:rsidR="007C2FBC" w:rsidRDefault="4224C032" w:rsidP="003E3C38">
      <w:pPr>
        <w:rPr>
          <w:rFonts w:cs="Arial"/>
        </w:rPr>
      </w:pPr>
      <w:r w:rsidRPr="4224C032">
        <w:rPr>
          <w:rFonts w:cs="Arial"/>
        </w:rPr>
        <w:t xml:space="preserve">DPA believes strongly that significant changes are needed to achieve a truly independent and effective monitoring system of the </w:t>
      </w:r>
      <w:proofErr w:type="spellStart"/>
      <w:r w:rsidRPr="4224C032">
        <w:rPr>
          <w:rFonts w:cs="Arial"/>
        </w:rPr>
        <w:t>Oranga</w:t>
      </w:r>
      <w:proofErr w:type="spellEnd"/>
      <w:r w:rsidRPr="4224C032">
        <w:rPr>
          <w:rFonts w:cs="Arial"/>
        </w:rPr>
        <w:t xml:space="preserve"> Tamariki system.  However, we strongly feel that this Bill as proposed </w:t>
      </w:r>
      <w:proofErr w:type="gramStart"/>
      <w:r w:rsidRPr="4224C032">
        <w:rPr>
          <w:rFonts w:cs="Arial"/>
        </w:rPr>
        <w:t>actually weakens</w:t>
      </w:r>
      <w:proofErr w:type="gramEnd"/>
      <w:r w:rsidRPr="4224C032">
        <w:rPr>
          <w:rFonts w:cs="Arial"/>
        </w:rPr>
        <w:t xml:space="preserve"> rather than strengthens progress to an independent and effective monitoring system.  DPA strongly urges the Committee to retain and strengthen the powers of the Office of the Children’s Commission to ensure that it can be a truly independent and effective Monitor </w:t>
      </w:r>
      <w:proofErr w:type="gramStart"/>
      <w:r w:rsidRPr="4224C032">
        <w:rPr>
          <w:rFonts w:cs="Arial"/>
        </w:rPr>
        <w:t>in regards to</w:t>
      </w:r>
      <w:proofErr w:type="gramEnd"/>
      <w:r w:rsidRPr="4224C032">
        <w:rPr>
          <w:rFonts w:cs="Arial"/>
        </w:rPr>
        <w:t xml:space="preserve"> the </w:t>
      </w:r>
      <w:proofErr w:type="spellStart"/>
      <w:r w:rsidRPr="4224C032">
        <w:rPr>
          <w:rFonts w:cs="Arial"/>
        </w:rPr>
        <w:t>Oranga</w:t>
      </w:r>
      <w:proofErr w:type="spellEnd"/>
      <w:r w:rsidRPr="4224C032">
        <w:rPr>
          <w:rFonts w:cs="Arial"/>
        </w:rPr>
        <w:t xml:space="preserve"> Tamariki system.</w:t>
      </w:r>
    </w:p>
    <w:p w14:paraId="570E9B56" w14:textId="77777777" w:rsidR="007C2FBC" w:rsidRPr="000C419F" w:rsidRDefault="007C2FBC" w:rsidP="000C419F">
      <w:pPr>
        <w:pStyle w:val="ListParagraph"/>
        <w:ind w:left="0"/>
        <w:rPr>
          <w:rFonts w:cs="Arial"/>
        </w:rPr>
      </w:pPr>
    </w:p>
    <w:sectPr w:rsidR="007C2FBC"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7348" w14:textId="77777777" w:rsidR="00EB01F6" w:rsidRDefault="00EB01F6" w:rsidP="00634AEC">
      <w:pPr>
        <w:spacing w:after="0" w:line="240" w:lineRule="auto"/>
      </w:pPr>
      <w:r>
        <w:separator/>
      </w:r>
    </w:p>
  </w:endnote>
  <w:endnote w:type="continuationSeparator" w:id="0">
    <w:p w14:paraId="7B8F375E" w14:textId="77777777" w:rsidR="00EB01F6" w:rsidRDefault="00EB01F6" w:rsidP="00634AEC">
      <w:pPr>
        <w:spacing w:after="0" w:line="240" w:lineRule="auto"/>
      </w:pPr>
      <w:r>
        <w:continuationSeparator/>
      </w:r>
    </w:p>
  </w:endnote>
  <w:endnote w:id="1">
    <w:p w14:paraId="2EB53FD2" w14:textId="2461E84D" w:rsidR="003747E8" w:rsidRDefault="003747E8">
      <w:pPr>
        <w:pStyle w:val="EndnoteText"/>
      </w:pPr>
      <w:r>
        <w:rPr>
          <w:rStyle w:val="EndnoteReference"/>
        </w:rPr>
        <w:endnoteRef/>
      </w:r>
      <w:r>
        <w:t xml:space="preserve"> </w:t>
      </w:r>
      <w:hyperlink r:id="rId1" w:history="1">
        <w:r w:rsidRPr="00303B40">
          <w:rPr>
            <w:rStyle w:val="Hyperlink"/>
          </w:rPr>
          <w:t>https://www.un.org/development/desa/disabilities/convention-on-the-rights-of-persons-with-disabilities.html</w:t>
        </w:r>
      </w:hyperlink>
    </w:p>
    <w:p w14:paraId="4D49A62B" w14:textId="77777777" w:rsidR="003747E8" w:rsidRPr="003747E8" w:rsidRDefault="003747E8">
      <w:pPr>
        <w:pStyle w:val="EndnoteText"/>
        <w:rPr>
          <w:lang w:val="en-GB"/>
        </w:rPr>
      </w:pPr>
    </w:p>
  </w:endnote>
  <w:endnote w:id="2">
    <w:p w14:paraId="06487D7E" w14:textId="5F014027" w:rsidR="00C54C94" w:rsidRDefault="00C54C94">
      <w:pPr>
        <w:pStyle w:val="EndnoteText"/>
      </w:pPr>
      <w:r>
        <w:rPr>
          <w:rStyle w:val="EndnoteReference"/>
        </w:rPr>
        <w:endnoteRef/>
      </w:r>
      <w:r>
        <w:t xml:space="preserve"> </w:t>
      </w:r>
      <w:hyperlink r:id="rId2" w:history="1">
        <w:r w:rsidRPr="00303B40">
          <w:rPr>
            <w:rStyle w:val="Hyperlink"/>
          </w:rPr>
          <w:t>https://www.ohchr.org/en/professionalinterest/pages/crc.aspx</w:t>
        </w:r>
      </w:hyperlink>
    </w:p>
    <w:p w14:paraId="6C2B3B16" w14:textId="77777777" w:rsidR="00C54C94" w:rsidRPr="00C54C94" w:rsidRDefault="00C54C94">
      <w:pPr>
        <w:pStyle w:val="EndnoteText"/>
        <w:rPr>
          <w:lang w:val="en-GB"/>
        </w:rPr>
      </w:pPr>
    </w:p>
  </w:endnote>
  <w:endnote w:id="3">
    <w:p w14:paraId="3818176E" w14:textId="144A63E7" w:rsidR="00742049" w:rsidRDefault="00742049">
      <w:pPr>
        <w:pStyle w:val="EndnoteText"/>
      </w:pPr>
      <w:r>
        <w:rPr>
          <w:rStyle w:val="EndnoteReference"/>
        </w:rPr>
        <w:endnoteRef/>
      </w:r>
      <w:r>
        <w:t xml:space="preserve"> </w:t>
      </w:r>
      <w:hyperlink r:id="rId3" w:history="1">
        <w:r w:rsidRPr="00303B40">
          <w:rPr>
            <w:rStyle w:val="Hyperlink"/>
          </w:rPr>
          <w:t>https://www.un.org/development/desa/indigenouspeoples/declaration-on-the-rights-of-indigenous-peoples.html</w:t>
        </w:r>
      </w:hyperlink>
    </w:p>
    <w:p w14:paraId="3B35354F" w14:textId="77777777" w:rsidR="00742049" w:rsidRPr="00742049" w:rsidRDefault="00742049">
      <w:pPr>
        <w:pStyle w:val="EndnoteText"/>
        <w:rPr>
          <w:lang w:val="en-GB"/>
        </w:rPr>
      </w:pPr>
    </w:p>
  </w:endnote>
  <w:endnote w:id="4">
    <w:p w14:paraId="20C94CE6" w14:textId="41FC13FD" w:rsidR="008270E8" w:rsidRPr="006B5AC2" w:rsidRDefault="008270E8" w:rsidP="27EFAA53">
      <w:pPr>
        <w:pStyle w:val="EndnoteText"/>
        <w:rPr>
          <w:lang w:val="en-GB"/>
        </w:rPr>
      </w:pPr>
      <w:r>
        <w:rPr>
          <w:rStyle w:val="EndnoteReference"/>
        </w:rPr>
        <w:endnoteRef/>
      </w:r>
      <w:r>
        <w:t xml:space="preserve"> </w:t>
      </w:r>
      <w:hyperlink r:id="rId4">
        <w:r w:rsidR="27EFAA53" w:rsidRPr="27EFAA53">
          <w:rPr>
            <w:rStyle w:val="Hyperlink"/>
          </w:rPr>
          <w:t>https://www.odi.govt.nz/nz-disability-strategy/</w:t>
        </w:r>
      </w:hyperlink>
    </w:p>
    <w:p w14:paraId="61D96114" w14:textId="4B715C1B" w:rsidR="27EFAA53" w:rsidRDefault="27EFAA53" w:rsidP="27EFAA53">
      <w:pPr>
        <w:pStyle w:val="EndnoteText"/>
        <w:rPr>
          <w:rFonts w:eastAsia="SimSun"/>
        </w:rPr>
      </w:pPr>
    </w:p>
  </w:endnote>
  <w:endnote w:id="5">
    <w:p w14:paraId="12324705" w14:textId="1EB9AF64" w:rsidR="00911569" w:rsidRPr="00911569" w:rsidRDefault="00911569">
      <w:pPr>
        <w:pStyle w:val="EndnoteText"/>
      </w:pPr>
      <w:r>
        <w:rPr>
          <w:rStyle w:val="EndnoteReference"/>
        </w:rPr>
        <w:endnoteRef/>
      </w:r>
      <w:r>
        <w:t xml:space="preserve"> </w:t>
      </w:r>
      <w:hyperlink r:id="rId5" w:history="1">
        <w:r w:rsidR="00BD2396" w:rsidRPr="00303B40">
          <w:rPr>
            <w:rStyle w:val="Hyperlink"/>
          </w:rPr>
          <w:t>http://docstore.ohchr.org/SelfServices/FilesHandler.ashx?</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807B" w14:textId="77777777" w:rsidR="00EB01F6" w:rsidRDefault="00EB01F6" w:rsidP="00634AEC">
      <w:pPr>
        <w:spacing w:after="0" w:line="240" w:lineRule="auto"/>
      </w:pPr>
      <w:r>
        <w:separator/>
      </w:r>
    </w:p>
  </w:footnote>
  <w:footnote w:type="continuationSeparator" w:id="0">
    <w:p w14:paraId="74C8BC3A" w14:textId="77777777" w:rsidR="00EB01F6" w:rsidRDefault="00EB01F6"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FEC45498">
      <w:start w:val="1"/>
      <w:numFmt w:val="decimal"/>
      <w:lvlText w:val="%1."/>
      <w:lvlJc w:val="left"/>
      <w:pPr>
        <w:ind w:left="1080" w:hanging="360"/>
      </w:pPr>
    </w:lvl>
    <w:lvl w:ilvl="1" w:tplc="DFC04E64" w:tentative="1">
      <w:start w:val="1"/>
      <w:numFmt w:val="lowerLetter"/>
      <w:lvlText w:val="%2."/>
      <w:lvlJc w:val="left"/>
      <w:pPr>
        <w:ind w:left="1800" w:hanging="360"/>
      </w:pPr>
    </w:lvl>
    <w:lvl w:ilvl="2" w:tplc="E5E05A84" w:tentative="1">
      <w:start w:val="1"/>
      <w:numFmt w:val="lowerRoman"/>
      <w:lvlText w:val="%3."/>
      <w:lvlJc w:val="right"/>
      <w:pPr>
        <w:ind w:left="2520" w:hanging="180"/>
      </w:pPr>
    </w:lvl>
    <w:lvl w:ilvl="3" w:tplc="EBB05F08" w:tentative="1">
      <w:start w:val="1"/>
      <w:numFmt w:val="decimal"/>
      <w:lvlText w:val="%4."/>
      <w:lvlJc w:val="left"/>
      <w:pPr>
        <w:ind w:left="3240" w:hanging="360"/>
      </w:pPr>
    </w:lvl>
    <w:lvl w:ilvl="4" w:tplc="488A5EF6" w:tentative="1">
      <w:start w:val="1"/>
      <w:numFmt w:val="lowerLetter"/>
      <w:lvlText w:val="%5."/>
      <w:lvlJc w:val="left"/>
      <w:pPr>
        <w:ind w:left="3960" w:hanging="360"/>
      </w:pPr>
    </w:lvl>
    <w:lvl w:ilvl="5" w:tplc="8B0A750E" w:tentative="1">
      <w:start w:val="1"/>
      <w:numFmt w:val="lowerRoman"/>
      <w:lvlText w:val="%6."/>
      <w:lvlJc w:val="right"/>
      <w:pPr>
        <w:ind w:left="4680" w:hanging="180"/>
      </w:pPr>
    </w:lvl>
    <w:lvl w:ilvl="6" w:tplc="0D781046" w:tentative="1">
      <w:start w:val="1"/>
      <w:numFmt w:val="decimal"/>
      <w:lvlText w:val="%7."/>
      <w:lvlJc w:val="left"/>
      <w:pPr>
        <w:ind w:left="5400" w:hanging="360"/>
      </w:pPr>
    </w:lvl>
    <w:lvl w:ilvl="7" w:tplc="AE821F9A" w:tentative="1">
      <w:start w:val="1"/>
      <w:numFmt w:val="lowerLetter"/>
      <w:lvlText w:val="%8."/>
      <w:lvlJc w:val="left"/>
      <w:pPr>
        <w:ind w:left="6120" w:hanging="360"/>
      </w:pPr>
    </w:lvl>
    <w:lvl w:ilvl="8" w:tplc="D1D46292" w:tentative="1">
      <w:start w:val="1"/>
      <w:numFmt w:val="lowerRoman"/>
      <w:lvlText w:val="%9."/>
      <w:lvlJc w:val="right"/>
      <w:pPr>
        <w:ind w:left="684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C035FF4"/>
    <w:multiLevelType w:val="hybridMultilevel"/>
    <w:tmpl w:val="117C22B0"/>
    <w:lvl w:ilvl="0" w:tplc="04090005">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5"/>
  </w:num>
  <w:num w:numId="5">
    <w:abstractNumId w:val="25"/>
  </w:num>
  <w:num w:numId="6">
    <w:abstractNumId w:val="7"/>
  </w:num>
  <w:num w:numId="7">
    <w:abstractNumId w:val="17"/>
  </w:num>
  <w:num w:numId="8">
    <w:abstractNumId w:val="18"/>
  </w:num>
  <w:num w:numId="9">
    <w:abstractNumId w:val="16"/>
  </w:num>
  <w:num w:numId="10">
    <w:abstractNumId w:val="23"/>
  </w:num>
  <w:num w:numId="11">
    <w:abstractNumId w:val="22"/>
  </w:num>
  <w:num w:numId="12">
    <w:abstractNumId w:val="0"/>
  </w:num>
  <w:num w:numId="13">
    <w:abstractNumId w:val="19"/>
  </w:num>
  <w:num w:numId="14">
    <w:abstractNumId w:val="12"/>
  </w:num>
  <w:num w:numId="15">
    <w:abstractNumId w:val="11"/>
  </w:num>
  <w:num w:numId="16">
    <w:abstractNumId w:val="6"/>
  </w:num>
  <w:num w:numId="17">
    <w:abstractNumId w:val="24"/>
  </w:num>
  <w:num w:numId="18">
    <w:abstractNumId w:val="1"/>
  </w:num>
  <w:num w:numId="19">
    <w:abstractNumId w:val="13"/>
  </w:num>
  <w:num w:numId="20">
    <w:abstractNumId w:val="20"/>
  </w:num>
  <w:num w:numId="21">
    <w:abstractNumId w:val="2"/>
  </w:num>
  <w:num w:numId="22">
    <w:abstractNumId w:val="9"/>
  </w:num>
  <w:num w:numId="23">
    <w:abstractNumId w:val="21"/>
  </w:num>
  <w:num w:numId="24">
    <w:abstractNumId w:val="3"/>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259D"/>
    <w:rsid w:val="00013645"/>
    <w:rsid w:val="00017F9A"/>
    <w:rsid w:val="000230E8"/>
    <w:rsid w:val="000304CB"/>
    <w:rsid w:val="00030699"/>
    <w:rsid w:val="00036320"/>
    <w:rsid w:val="000533B3"/>
    <w:rsid w:val="00053FDF"/>
    <w:rsid w:val="000633A0"/>
    <w:rsid w:val="00073A38"/>
    <w:rsid w:val="00093113"/>
    <w:rsid w:val="000A33E1"/>
    <w:rsid w:val="000B1D28"/>
    <w:rsid w:val="000C2A3A"/>
    <w:rsid w:val="000C419F"/>
    <w:rsid w:val="000E74C8"/>
    <w:rsid w:val="00104711"/>
    <w:rsid w:val="00107484"/>
    <w:rsid w:val="00121AC5"/>
    <w:rsid w:val="00122933"/>
    <w:rsid w:val="00133092"/>
    <w:rsid w:val="00133330"/>
    <w:rsid w:val="001421C8"/>
    <w:rsid w:val="00146E34"/>
    <w:rsid w:val="00166791"/>
    <w:rsid w:val="00167DCD"/>
    <w:rsid w:val="00174FB0"/>
    <w:rsid w:val="00182560"/>
    <w:rsid w:val="001A3927"/>
    <w:rsid w:val="001A4858"/>
    <w:rsid w:val="001A6021"/>
    <w:rsid w:val="001A63C9"/>
    <w:rsid w:val="001B734D"/>
    <w:rsid w:val="001C0434"/>
    <w:rsid w:val="001D29F1"/>
    <w:rsid w:val="001E3A4F"/>
    <w:rsid w:val="002033A3"/>
    <w:rsid w:val="00213391"/>
    <w:rsid w:val="00226234"/>
    <w:rsid w:val="00234512"/>
    <w:rsid w:val="002503CA"/>
    <w:rsid w:val="00252A79"/>
    <w:rsid w:val="00255576"/>
    <w:rsid w:val="00257134"/>
    <w:rsid w:val="0026040E"/>
    <w:rsid w:val="00277B95"/>
    <w:rsid w:val="00294329"/>
    <w:rsid w:val="002C0869"/>
    <w:rsid w:val="002E0071"/>
    <w:rsid w:val="0033348C"/>
    <w:rsid w:val="00335BE4"/>
    <w:rsid w:val="00341E4C"/>
    <w:rsid w:val="00345ED6"/>
    <w:rsid w:val="00361328"/>
    <w:rsid w:val="00372411"/>
    <w:rsid w:val="003747E8"/>
    <w:rsid w:val="00376117"/>
    <w:rsid w:val="0039004F"/>
    <w:rsid w:val="003B025C"/>
    <w:rsid w:val="003B0C58"/>
    <w:rsid w:val="003B154D"/>
    <w:rsid w:val="003B3DF5"/>
    <w:rsid w:val="003D0110"/>
    <w:rsid w:val="003E3C38"/>
    <w:rsid w:val="00412627"/>
    <w:rsid w:val="00422A0D"/>
    <w:rsid w:val="004600A7"/>
    <w:rsid w:val="004A0B5F"/>
    <w:rsid w:val="004D53A5"/>
    <w:rsid w:val="004E4933"/>
    <w:rsid w:val="005174CE"/>
    <w:rsid w:val="005244AE"/>
    <w:rsid w:val="005255B7"/>
    <w:rsid w:val="00534749"/>
    <w:rsid w:val="00547874"/>
    <w:rsid w:val="00550372"/>
    <w:rsid w:val="00562E74"/>
    <w:rsid w:val="00562F5F"/>
    <w:rsid w:val="00573EA0"/>
    <w:rsid w:val="005841E5"/>
    <w:rsid w:val="00587C7D"/>
    <w:rsid w:val="00590FA5"/>
    <w:rsid w:val="00593CF3"/>
    <w:rsid w:val="005A4256"/>
    <w:rsid w:val="005A4B66"/>
    <w:rsid w:val="005B09BF"/>
    <w:rsid w:val="005C2088"/>
    <w:rsid w:val="005C20AF"/>
    <w:rsid w:val="005C7632"/>
    <w:rsid w:val="005E5403"/>
    <w:rsid w:val="00612023"/>
    <w:rsid w:val="00617B71"/>
    <w:rsid w:val="00623087"/>
    <w:rsid w:val="00624726"/>
    <w:rsid w:val="00626DE9"/>
    <w:rsid w:val="00634AEC"/>
    <w:rsid w:val="00651F17"/>
    <w:rsid w:val="00655A46"/>
    <w:rsid w:val="0065604C"/>
    <w:rsid w:val="00670B18"/>
    <w:rsid w:val="006B5018"/>
    <w:rsid w:val="006C1987"/>
    <w:rsid w:val="006C4177"/>
    <w:rsid w:val="006C4F78"/>
    <w:rsid w:val="006D327C"/>
    <w:rsid w:val="006D416F"/>
    <w:rsid w:val="006E413E"/>
    <w:rsid w:val="00700885"/>
    <w:rsid w:val="0070699A"/>
    <w:rsid w:val="00720AF9"/>
    <w:rsid w:val="007247B9"/>
    <w:rsid w:val="00742049"/>
    <w:rsid w:val="007425DF"/>
    <w:rsid w:val="00766369"/>
    <w:rsid w:val="00771A3C"/>
    <w:rsid w:val="00775532"/>
    <w:rsid w:val="007928EF"/>
    <w:rsid w:val="0079766F"/>
    <w:rsid w:val="007A5D60"/>
    <w:rsid w:val="007B4A88"/>
    <w:rsid w:val="007C2FBC"/>
    <w:rsid w:val="007F0F7A"/>
    <w:rsid w:val="007F60BA"/>
    <w:rsid w:val="00805680"/>
    <w:rsid w:val="008270E8"/>
    <w:rsid w:val="00832EF2"/>
    <w:rsid w:val="00834694"/>
    <w:rsid w:val="008443CB"/>
    <w:rsid w:val="00851ABD"/>
    <w:rsid w:val="008614A2"/>
    <w:rsid w:val="00861D42"/>
    <w:rsid w:val="008870F9"/>
    <w:rsid w:val="008C3BEF"/>
    <w:rsid w:val="008E27E2"/>
    <w:rsid w:val="008E541D"/>
    <w:rsid w:val="008E594C"/>
    <w:rsid w:val="00902171"/>
    <w:rsid w:val="00911569"/>
    <w:rsid w:val="009140EA"/>
    <w:rsid w:val="00921D00"/>
    <w:rsid w:val="009301C7"/>
    <w:rsid w:val="00937197"/>
    <w:rsid w:val="00946BF2"/>
    <w:rsid w:val="009514A6"/>
    <w:rsid w:val="00953608"/>
    <w:rsid w:val="00974AB8"/>
    <w:rsid w:val="00980ACE"/>
    <w:rsid w:val="0098203B"/>
    <w:rsid w:val="009923BC"/>
    <w:rsid w:val="00996BC8"/>
    <w:rsid w:val="009A6FA7"/>
    <w:rsid w:val="009B6EE7"/>
    <w:rsid w:val="009C25EE"/>
    <w:rsid w:val="009D2D4A"/>
    <w:rsid w:val="009D3ED8"/>
    <w:rsid w:val="009F43CD"/>
    <w:rsid w:val="00A00E3F"/>
    <w:rsid w:val="00A12510"/>
    <w:rsid w:val="00A2709C"/>
    <w:rsid w:val="00A272AB"/>
    <w:rsid w:val="00A34EDE"/>
    <w:rsid w:val="00A35B40"/>
    <w:rsid w:val="00A378EA"/>
    <w:rsid w:val="00A56F67"/>
    <w:rsid w:val="00A56FEE"/>
    <w:rsid w:val="00A6467F"/>
    <w:rsid w:val="00A67D69"/>
    <w:rsid w:val="00A76CE2"/>
    <w:rsid w:val="00A77DD5"/>
    <w:rsid w:val="00AA7CBB"/>
    <w:rsid w:val="00AC772C"/>
    <w:rsid w:val="00AD6F7B"/>
    <w:rsid w:val="00B00392"/>
    <w:rsid w:val="00B113AE"/>
    <w:rsid w:val="00B227DA"/>
    <w:rsid w:val="00B363C7"/>
    <w:rsid w:val="00B6168D"/>
    <w:rsid w:val="00B67547"/>
    <w:rsid w:val="00B7383C"/>
    <w:rsid w:val="00B819EB"/>
    <w:rsid w:val="00B925CB"/>
    <w:rsid w:val="00B9746B"/>
    <w:rsid w:val="00BA6C1A"/>
    <w:rsid w:val="00BD2396"/>
    <w:rsid w:val="00BD43B3"/>
    <w:rsid w:val="00BF7175"/>
    <w:rsid w:val="00C0441C"/>
    <w:rsid w:val="00C23CCD"/>
    <w:rsid w:val="00C3131E"/>
    <w:rsid w:val="00C32B8A"/>
    <w:rsid w:val="00C42957"/>
    <w:rsid w:val="00C473F0"/>
    <w:rsid w:val="00C54C94"/>
    <w:rsid w:val="00C61B99"/>
    <w:rsid w:val="00C64FFB"/>
    <w:rsid w:val="00C92A65"/>
    <w:rsid w:val="00C92B04"/>
    <w:rsid w:val="00CD1230"/>
    <w:rsid w:val="00CD2828"/>
    <w:rsid w:val="00CD4578"/>
    <w:rsid w:val="00CE79A4"/>
    <w:rsid w:val="00CF5354"/>
    <w:rsid w:val="00CF5F49"/>
    <w:rsid w:val="00D001C0"/>
    <w:rsid w:val="00D0678F"/>
    <w:rsid w:val="00D11BCC"/>
    <w:rsid w:val="00D14A9F"/>
    <w:rsid w:val="00D2076D"/>
    <w:rsid w:val="00D230E4"/>
    <w:rsid w:val="00D26396"/>
    <w:rsid w:val="00D451C5"/>
    <w:rsid w:val="00D45D28"/>
    <w:rsid w:val="00D6214D"/>
    <w:rsid w:val="00DD61E8"/>
    <w:rsid w:val="00E0554B"/>
    <w:rsid w:val="00E05B9D"/>
    <w:rsid w:val="00E13065"/>
    <w:rsid w:val="00E426CF"/>
    <w:rsid w:val="00E449D7"/>
    <w:rsid w:val="00E47BC9"/>
    <w:rsid w:val="00E53192"/>
    <w:rsid w:val="00E5783A"/>
    <w:rsid w:val="00E65567"/>
    <w:rsid w:val="00E70E28"/>
    <w:rsid w:val="00E74B15"/>
    <w:rsid w:val="00E9298B"/>
    <w:rsid w:val="00EA1E55"/>
    <w:rsid w:val="00EA7AD5"/>
    <w:rsid w:val="00EB01F6"/>
    <w:rsid w:val="00EB17E7"/>
    <w:rsid w:val="00EC6AD9"/>
    <w:rsid w:val="00ED0FE8"/>
    <w:rsid w:val="00ED415F"/>
    <w:rsid w:val="00EE2261"/>
    <w:rsid w:val="00EE22F9"/>
    <w:rsid w:val="00EE2B63"/>
    <w:rsid w:val="00EF2AA3"/>
    <w:rsid w:val="00EF44E1"/>
    <w:rsid w:val="00F03220"/>
    <w:rsid w:val="00F03CA4"/>
    <w:rsid w:val="00F228DC"/>
    <w:rsid w:val="00F57655"/>
    <w:rsid w:val="00F90077"/>
    <w:rsid w:val="00F90886"/>
    <w:rsid w:val="00F945FF"/>
    <w:rsid w:val="00F9788D"/>
    <w:rsid w:val="00FA1FCA"/>
    <w:rsid w:val="00FA31CF"/>
    <w:rsid w:val="00FA3E8E"/>
    <w:rsid w:val="00FB1B9A"/>
    <w:rsid w:val="00FD7A1A"/>
    <w:rsid w:val="00FE59BA"/>
    <w:rsid w:val="15175FEE"/>
    <w:rsid w:val="27EFAA53"/>
    <w:rsid w:val="4224C032"/>
    <w:rsid w:val="61B9C2F3"/>
    <w:rsid w:val="7FFBC94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locked/>
    <w:rsid w:val="00996BC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un.org/development/desa/indigenouspeoples/declaration-on-the-rights-of-indigenous-peoples.html" TargetMode="External"/><Relationship Id="rId2" Type="http://schemas.openxmlformats.org/officeDocument/2006/relationships/hyperlink" Target="https://www.ohchr.org/en/professionalinterest/pages/crc.aspx" TargetMode="External"/><Relationship Id="rId1" Type="http://schemas.openxmlformats.org/officeDocument/2006/relationships/hyperlink" Target="https://www.un.org/development/desa/disabilities/convention-on-the-rights-of-persons-with-disabilities.html" TargetMode="External"/><Relationship Id="rId5" Type="http://schemas.openxmlformats.org/officeDocument/2006/relationships/hyperlink" Target="http://docstore.ohchr.org/SelfServices/FilesHandler.ashx?enc=6QkG1d%2FPPRiCAqhKb7yhsiQql8gX5Zxh0cQqSRzx6ZcNR3YdFwaRoLFkDFvNRlVoE9r590QoHaQTQRwonqARWV9Blutv2Nz3ITQ%2BFebW%2BlOKrOPw9z5qNBGnjUDapSbL" TargetMode="External"/><Relationship Id="rId4" Type="http://schemas.openxmlformats.org/officeDocument/2006/relationships/hyperlink" Target="https://www.odi.govt.nz/nz-disability-strate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2022-02-11T22:19:00Z</dcterms:created>
  <dcterms:modified xsi:type="dcterms:W3CDTF">2022-02-11T22:19:00Z</dcterms:modified>
</cp:coreProperties>
</file>