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475BE883" w:rsidR="00954CCD" w:rsidRDefault="00617066" w:rsidP="0680612F">
      <w:r>
        <w:rPr>
          <w:noProof/>
        </w:rPr>
        <mc:AlternateContent>
          <mc:Choice Requires="wpg">
            <w:drawing>
              <wp:anchor distT="0" distB="0" distL="114300" distR="114300" simplePos="0" relativeHeight="251658240"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v:group id="Group 3" style="position:absolute;margin-left:137.2pt;margin-top:10.15pt;width:191.25pt;height:133.4pt;z-index:251659264" coordsize="24288,16942" o:spid="_x0000_s1026" w14:anchorId="6A427CAE"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top:14307;width:24288;height:2635;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o:title="" r:id="rId13"/>
                </v:shape>
                <v:shape id="Picture 1" style="position:absolute;left:4303;width:15690;height:13423;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o:title="" r:id="rId14"/>
                </v:shape>
              </v:group>
            </w:pict>
          </mc:Fallback>
        </mc:AlternateContent>
      </w:r>
      <w:r w:rsidR="00AF1E37">
        <w:t xml:space="preserve"> </w:t>
      </w:r>
    </w:p>
    <w:p w14:paraId="1385BD5C" w14:textId="2432BE15" w:rsidR="002068BC" w:rsidRDefault="002068BC" w:rsidP="0680612F">
      <w:pPr>
        <w:rPr>
          <w:noProof/>
          <w:lang w:eastAsia="en-NZ"/>
        </w:rPr>
      </w:pPr>
    </w:p>
    <w:p w14:paraId="63D22EDE" w14:textId="77777777" w:rsidR="001D64D0" w:rsidRDefault="001D64D0" w:rsidP="0680612F"/>
    <w:p w14:paraId="3278A3C3" w14:textId="77777777" w:rsidR="001D64D0" w:rsidRDefault="001D64D0" w:rsidP="0680612F"/>
    <w:p w14:paraId="05BA4EEE" w14:textId="77777777" w:rsidR="001D64D0" w:rsidRDefault="001D64D0" w:rsidP="0680612F"/>
    <w:p w14:paraId="67736417" w14:textId="77777777" w:rsidR="001D64D0" w:rsidRDefault="001D64D0" w:rsidP="0680612F"/>
    <w:p w14:paraId="20F8F9B4" w14:textId="7C8B5436" w:rsidR="00FA5DE7" w:rsidRDefault="001D64D0" w:rsidP="0680612F">
      <w:r>
        <w:t xml:space="preserve">21 </w:t>
      </w:r>
      <w:r w:rsidR="0680612F">
        <w:t>August 2023</w:t>
      </w:r>
    </w:p>
    <w:p w14:paraId="6608390D" w14:textId="77777777" w:rsidR="00041038" w:rsidRPr="00FA5DE7" w:rsidRDefault="00041038" w:rsidP="0680612F"/>
    <w:p w14:paraId="592A93E5" w14:textId="082A92AF" w:rsidR="00FA5DE7" w:rsidRPr="00FA5DE7" w:rsidRDefault="0680612F" w:rsidP="0680612F">
      <w:r>
        <w:t>To Pharmac</w:t>
      </w:r>
    </w:p>
    <w:p w14:paraId="41E6D60F" w14:textId="547B128E" w:rsidR="00FA5DE7" w:rsidRDefault="0680612F" w:rsidP="0680612F">
      <w:r>
        <w:t xml:space="preserve">Please find attached DPA’s submission on </w:t>
      </w:r>
      <w:proofErr w:type="spellStart"/>
      <w:r w:rsidR="001D64D0">
        <w:t>P</w:t>
      </w:r>
      <w:r w:rsidR="00F71341">
        <w:t>h</w:t>
      </w:r>
      <w:r w:rsidR="001D64D0">
        <w:t>armac’s</w:t>
      </w:r>
      <w:proofErr w:type="spellEnd"/>
      <w:r w:rsidR="001D64D0">
        <w:t xml:space="preserve"> </w:t>
      </w:r>
      <w:r>
        <w:t>proposal to change the access criteria for COVID</w:t>
      </w:r>
      <w:r w:rsidR="001D64D0">
        <w:t>-</w:t>
      </w:r>
      <w:r>
        <w:t xml:space="preserve">19 antiviral </w:t>
      </w:r>
      <w:proofErr w:type="gramStart"/>
      <w:r>
        <w:t>treatments</w:t>
      </w:r>
      <w:proofErr w:type="gramEnd"/>
    </w:p>
    <w:p w14:paraId="17286796" w14:textId="77777777" w:rsidR="002F3672" w:rsidRPr="00FA5DE7" w:rsidRDefault="002F3672" w:rsidP="0680612F"/>
    <w:p w14:paraId="2AF01286" w14:textId="0EAE7194" w:rsidR="00CC2245" w:rsidRDefault="00CC2245" w:rsidP="0680612F"/>
    <w:p w14:paraId="76FB8BA7" w14:textId="77777777" w:rsidR="00926D89" w:rsidRDefault="00926D89" w:rsidP="0680612F"/>
    <w:p w14:paraId="5547E9AB" w14:textId="77777777" w:rsidR="00FA5DE7" w:rsidRPr="001D0A95" w:rsidRDefault="00FA5DE7" w:rsidP="0680612F"/>
    <w:p w14:paraId="5680578C" w14:textId="16359580" w:rsidR="00796ACA" w:rsidRDefault="00796ACA" w:rsidP="0680612F"/>
    <w:p w14:paraId="11371B7B" w14:textId="77777777" w:rsidR="00617066" w:rsidRDefault="00617066" w:rsidP="0680612F"/>
    <w:p w14:paraId="20B50B85" w14:textId="77777777" w:rsidR="001D4F95" w:rsidRPr="001D0A95" w:rsidRDefault="001D4F95" w:rsidP="0680612F"/>
    <w:p w14:paraId="6D0E1C2D" w14:textId="776EBD61" w:rsidR="009134C2" w:rsidRPr="009539E4" w:rsidRDefault="0680612F" w:rsidP="0680612F">
      <w:r>
        <w:t>For any further inquiries, please contact:</w:t>
      </w:r>
    </w:p>
    <w:p w14:paraId="3C20F521" w14:textId="11BCAFBC" w:rsidR="00FA5DE7" w:rsidRPr="001D0A95" w:rsidRDefault="0680612F" w:rsidP="0680612F">
      <w:pPr>
        <w:spacing w:after="0"/>
      </w:pPr>
      <w:r>
        <w:t>policy@dpa.org.nz</w:t>
      </w:r>
    </w:p>
    <w:p w14:paraId="1E92D69E" w14:textId="77777777" w:rsidR="00CC2245" w:rsidRPr="001D0A95" w:rsidRDefault="00CC2245" w:rsidP="0680612F"/>
    <w:p w14:paraId="59CF5885" w14:textId="77777777" w:rsidR="00617066" w:rsidRDefault="00617066" w:rsidP="0680612F">
      <w:pPr>
        <w:spacing w:after="160"/>
        <w:rPr>
          <w:rFonts w:eastAsiaTheme="majorEastAsia" w:cstheme="majorBidi"/>
          <w:b/>
          <w:bCs/>
          <w:color w:val="002060"/>
          <w:sz w:val="36"/>
          <w:szCs w:val="36"/>
        </w:rPr>
      </w:pPr>
      <w:r>
        <w:br w:type="page"/>
      </w:r>
    </w:p>
    <w:p w14:paraId="37D9DCAE" w14:textId="51D4550B" w:rsidR="00C0742F" w:rsidRDefault="0680612F" w:rsidP="00041038">
      <w:pPr>
        <w:pStyle w:val="Heading1"/>
      </w:pPr>
      <w:r w:rsidRPr="001D64D0">
        <w:lastRenderedPageBreak/>
        <w:t>Introducing</w:t>
      </w:r>
      <w:r>
        <w:t xml:space="preserve"> Disabled Persons Assembly NZ</w:t>
      </w:r>
    </w:p>
    <w:p w14:paraId="3BF3C229" w14:textId="77777777" w:rsidR="00C0742F" w:rsidRPr="004E3921" w:rsidRDefault="0680612F" w:rsidP="0680612F">
      <w:pPr>
        <w:rPr>
          <w:rFonts w:eastAsia="Times New Roman"/>
          <w:b/>
          <w:bCs/>
        </w:rPr>
      </w:pPr>
      <w:r w:rsidRPr="0680612F">
        <w:rPr>
          <w:b/>
          <w:bCs/>
        </w:rPr>
        <w:t>We work on systemic change for the equity of disabled people</w:t>
      </w:r>
      <w:r w:rsidRPr="0680612F">
        <w:rPr>
          <w:b/>
          <w:bCs/>
          <w:lang w:val="en-US"/>
        </w:rPr>
        <w:t xml:space="preserve"> </w:t>
      </w:r>
    </w:p>
    <w:p w14:paraId="116C70DF" w14:textId="0EB7165C" w:rsidR="00C0742F" w:rsidRPr="004E3921" w:rsidRDefault="0680612F" w:rsidP="0680612F">
      <w:r w:rsidRPr="0680612F">
        <w:rPr>
          <w:lang w:val="en-US"/>
        </w:rPr>
        <w:t>Disabled Persons Assembly NZ (DPA) is a not-for-profit pan-impairment Disabled People’s Organisation run by and for disabled people.</w:t>
      </w:r>
    </w:p>
    <w:p w14:paraId="0832C38D" w14:textId="77777777" w:rsidR="00C0742F" w:rsidRPr="004E3921" w:rsidRDefault="0680612F" w:rsidP="0680612F">
      <w:pPr>
        <w:spacing w:after="0"/>
        <w:rPr>
          <w:b/>
          <w:bCs/>
        </w:rPr>
      </w:pPr>
      <w:r w:rsidRPr="0680612F">
        <w:rPr>
          <w:b/>
          <w:bCs/>
          <w:lang w:val="en-US"/>
        </w:rPr>
        <w:t xml:space="preserve">We </w:t>
      </w:r>
      <w:proofErr w:type="spellStart"/>
      <w:r w:rsidRPr="0680612F">
        <w:rPr>
          <w:b/>
          <w:bCs/>
          <w:lang w:val="en-US"/>
        </w:rPr>
        <w:t>recognise</w:t>
      </w:r>
      <w:proofErr w:type="spellEnd"/>
      <w:r w:rsidRPr="0680612F">
        <w:rPr>
          <w:b/>
          <w:bCs/>
          <w:lang w:val="en-US"/>
        </w:rPr>
        <w:t>:</w:t>
      </w:r>
    </w:p>
    <w:p w14:paraId="1E84B5F7" w14:textId="77777777" w:rsidR="00C0742F" w:rsidRPr="004E3921" w:rsidRDefault="0680612F" w:rsidP="0680612F">
      <w:pPr>
        <w:pStyle w:val="ListParagraph"/>
        <w:numPr>
          <w:ilvl w:val="0"/>
          <w:numId w:val="25"/>
        </w:numPr>
        <w:spacing w:after="200"/>
        <w:rPr>
          <w:lang w:val="en-US"/>
        </w:rPr>
      </w:pPr>
      <w:r w:rsidRPr="0680612F">
        <w:rPr>
          <w:lang w:val="en-US"/>
        </w:rPr>
        <w:t>M</w:t>
      </w:r>
      <w:r w:rsidRPr="0680612F">
        <w:rPr>
          <w:rFonts w:ascii="Calibri" w:hAnsi="Calibri" w:cs="Calibri"/>
          <w:lang w:val="en-US"/>
        </w:rPr>
        <w:t>ā</w:t>
      </w:r>
      <w:r w:rsidRPr="0680612F">
        <w:rPr>
          <w:lang w:val="en-US"/>
        </w:rPr>
        <w:t xml:space="preserve">ori as Tangata Whenua and </w:t>
      </w:r>
      <w:hyperlink r:id="rId15">
        <w:r w:rsidRPr="0680612F">
          <w:rPr>
            <w:rStyle w:val="Hyperlink"/>
            <w:lang w:val="en-US"/>
          </w:rPr>
          <w:t>Te Tiriti o Waitangi</w:t>
        </w:r>
      </w:hyperlink>
      <w:r w:rsidRPr="0680612F">
        <w:rPr>
          <w:lang w:val="en-US"/>
        </w:rPr>
        <w:t xml:space="preserve"> as the founding document of Aotearoa New Zealand;</w:t>
      </w:r>
    </w:p>
    <w:p w14:paraId="644591FB" w14:textId="77777777" w:rsidR="00C0742F" w:rsidRPr="004E3921" w:rsidRDefault="0680612F" w:rsidP="0680612F">
      <w:pPr>
        <w:pStyle w:val="ListParagraph"/>
        <w:numPr>
          <w:ilvl w:val="0"/>
          <w:numId w:val="25"/>
        </w:numPr>
        <w:spacing w:after="200"/>
        <w:rPr>
          <w:lang w:val="en-US"/>
        </w:rPr>
      </w:pPr>
      <w:r w:rsidRPr="0680612F">
        <w:rPr>
          <w:lang w:val="en-US"/>
        </w:rPr>
        <w:t>disabled people as experts on their own lives;</w:t>
      </w:r>
    </w:p>
    <w:p w14:paraId="5BFE2E70" w14:textId="77777777" w:rsidR="00C0742F" w:rsidRPr="004E3921" w:rsidRDefault="0680612F" w:rsidP="0680612F">
      <w:pPr>
        <w:pStyle w:val="ListParagraph"/>
        <w:numPr>
          <w:ilvl w:val="0"/>
          <w:numId w:val="25"/>
        </w:numPr>
        <w:spacing w:after="200"/>
        <w:rPr>
          <w:lang w:val="en-US"/>
        </w:rPr>
      </w:pPr>
      <w:r w:rsidRPr="0680612F">
        <w:rPr>
          <w:lang w:val="en-US"/>
        </w:rPr>
        <w:t xml:space="preserve">the </w:t>
      </w:r>
      <w:hyperlink r:id="rId16">
        <w:r w:rsidRPr="0680612F">
          <w:rPr>
            <w:rStyle w:val="Hyperlink"/>
            <w:lang w:val="en-US"/>
          </w:rPr>
          <w:t>Social Model of Disability</w:t>
        </w:r>
      </w:hyperlink>
      <w:r w:rsidRPr="0680612F">
        <w:rPr>
          <w:lang w:val="en-US"/>
        </w:rPr>
        <w:t xml:space="preserve"> as the guiding principle for interpreting disability and impairment; </w:t>
      </w:r>
    </w:p>
    <w:p w14:paraId="414859E0" w14:textId="77777777" w:rsidR="00C0742F" w:rsidRPr="004E3921" w:rsidRDefault="0680612F" w:rsidP="0680612F">
      <w:pPr>
        <w:pStyle w:val="ListParagraph"/>
        <w:numPr>
          <w:ilvl w:val="0"/>
          <w:numId w:val="25"/>
        </w:numPr>
        <w:spacing w:after="200"/>
        <w:rPr>
          <w:lang w:val="en-US"/>
        </w:rPr>
      </w:pPr>
      <w:r w:rsidRPr="0680612F">
        <w:rPr>
          <w:lang w:val="en-US"/>
        </w:rPr>
        <w:t xml:space="preserve">the </w:t>
      </w:r>
      <w:hyperlink r:id="rId17">
        <w:r w:rsidRPr="0680612F">
          <w:rPr>
            <w:rStyle w:val="Hyperlink"/>
            <w:lang w:val="en-US"/>
          </w:rPr>
          <w:t>United Nations Convention on the Rights of Persons with Disabilities</w:t>
        </w:r>
      </w:hyperlink>
      <w:r w:rsidRPr="0680612F">
        <w:rPr>
          <w:lang w:val="en-US"/>
        </w:rPr>
        <w:t xml:space="preserve"> as the basis for disabled people’s relationship with the State;</w:t>
      </w:r>
    </w:p>
    <w:p w14:paraId="0FACC264" w14:textId="77777777" w:rsidR="00C0742F" w:rsidRPr="004E3921" w:rsidRDefault="0680612F" w:rsidP="0680612F">
      <w:pPr>
        <w:pStyle w:val="ListParagraph"/>
        <w:numPr>
          <w:ilvl w:val="0"/>
          <w:numId w:val="25"/>
        </w:numPr>
        <w:spacing w:after="200"/>
        <w:rPr>
          <w:lang w:val="en-US"/>
        </w:rPr>
      </w:pPr>
      <w:r w:rsidRPr="0680612F">
        <w:rPr>
          <w:lang w:val="en-US"/>
        </w:rPr>
        <w:t xml:space="preserve">the </w:t>
      </w:r>
      <w:hyperlink r:id="rId18">
        <w:r w:rsidRPr="0680612F">
          <w:rPr>
            <w:rStyle w:val="Hyperlink"/>
            <w:lang w:val="en-US"/>
          </w:rPr>
          <w:t>New Zealand Disability Strategy</w:t>
        </w:r>
      </w:hyperlink>
      <w:r w:rsidRPr="0680612F">
        <w:rPr>
          <w:lang w:val="en-US"/>
        </w:rPr>
        <w:t xml:space="preserve"> as Government agencies’ guide on disability issues; and </w:t>
      </w:r>
    </w:p>
    <w:p w14:paraId="71AA2BE6" w14:textId="77777777" w:rsidR="00C0742F" w:rsidRPr="004E3921" w:rsidRDefault="0680612F" w:rsidP="0680612F">
      <w:pPr>
        <w:pStyle w:val="ListParagraph"/>
        <w:numPr>
          <w:ilvl w:val="0"/>
          <w:numId w:val="25"/>
        </w:numPr>
        <w:spacing w:after="200"/>
        <w:rPr>
          <w:lang w:val="en-US"/>
        </w:rPr>
      </w:pPr>
      <w:r w:rsidRPr="0680612F">
        <w:rPr>
          <w:lang w:val="en-US"/>
        </w:rPr>
        <w:t xml:space="preserve">the </w:t>
      </w:r>
      <w:hyperlink r:id="rId19">
        <w:r w:rsidRPr="0680612F">
          <w:rPr>
            <w:rStyle w:val="Hyperlink"/>
            <w:lang w:val="en-US"/>
          </w:rPr>
          <w:t>Enabling Good Lives Principles</w:t>
        </w:r>
      </w:hyperlink>
      <w:r w:rsidRPr="0680612F">
        <w:rPr>
          <w:lang w:val="en-US"/>
        </w:rPr>
        <w:t xml:space="preserve">, </w:t>
      </w:r>
      <w:hyperlink r:id="rId20">
        <w:proofErr w:type="spellStart"/>
        <w:r w:rsidRPr="0680612F">
          <w:rPr>
            <w:rStyle w:val="Hyperlink"/>
          </w:rPr>
          <w:t>Wh</w:t>
        </w:r>
        <w:r w:rsidRPr="0680612F">
          <w:rPr>
            <w:rStyle w:val="Hyperlink"/>
            <w:rFonts w:ascii="Calibri" w:hAnsi="Calibri" w:cs="Calibri"/>
          </w:rPr>
          <w:t>ā</w:t>
        </w:r>
        <w:r w:rsidRPr="0680612F">
          <w:rPr>
            <w:rStyle w:val="Hyperlink"/>
          </w:rPr>
          <w:t>ia</w:t>
        </w:r>
        <w:proofErr w:type="spellEnd"/>
        <w:r w:rsidRPr="0680612F">
          <w:rPr>
            <w:rStyle w:val="Hyperlink"/>
          </w:rPr>
          <w:t xml:space="preserve"> Te Ao M</w:t>
        </w:r>
        <w:r w:rsidRPr="0680612F">
          <w:rPr>
            <w:rStyle w:val="Hyperlink"/>
            <w:rFonts w:ascii="Calibri" w:hAnsi="Calibri" w:cs="Calibri"/>
          </w:rPr>
          <w:t>ā</w:t>
        </w:r>
        <w:r w:rsidRPr="0680612F">
          <w:rPr>
            <w:rStyle w:val="Hyperlink"/>
          </w:rPr>
          <w:t>rama: M</w:t>
        </w:r>
        <w:r w:rsidRPr="0680612F">
          <w:rPr>
            <w:rStyle w:val="Hyperlink"/>
            <w:rFonts w:ascii="Calibri" w:hAnsi="Calibri" w:cs="Calibri"/>
          </w:rPr>
          <w:t>ā</w:t>
        </w:r>
        <w:r w:rsidRPr="0680612F">
          <w:rPr>
            <w:rStyle w:val="Hyperlink"/>
          </w:rPr>
          <w:t>ori Disability Action Plan</w:t>
        </w:r>
      </w:hyperlink>
      <w:r>
        <w:t xml:space="preserve">, and </w:t>
      </w:r>
      <w:hyperlink r:id="rId21">
        <w:proofErr w:type="spellStart"/>
        <w:r w:rsidRPr="0680612F">
          <w:rPr>
            <w:rStyle w:val="Hyperlink"/>
          </w:rPr>
          <w:t>Faiva</w:t>
        </w:r>
        <w:proofErr w:type="spellEnd"/>
        <w:r w:rsidRPr="0680612F">
          <w:rPr>
            <w:rStyle w:val="Hyperlink"/>
          </w:rPr>
          <w:t xml:space="preserve"> Ora: National Pasifika Disability </w:t>
        </w:r>
        <w:proofErr w:type="spellStart"/>
        <w:r w:rsidRPr="0680612F">
          <w:rPr>
            <w:rStyle w:val="Hyperlink"/>
          </w:rPr>
          <w:t>Disability</w:t>
        </w:r>
        <w:proofErr w:type="spellEnd"/>
        <w:r w:rsidRPr="0680612F">
          <w:rPr>
            <w:rStyle w:val="Hyperlink"/>
          </w:rPr>
          <w:t xml:space="preserve"> Plan</w:t>
        </w:r>
      </w:hyperlink>
      <w:r>
        <w:t xml:space="preserve"> </w:t>
      </w:r>
      <w:r w:rsidRPr="0680612F">
        <w:rPr>
          <w:lang w:val="en-US"/>
        </w:rPr>
        <w:t xml:space="preserve">as avenues to disabled people gaining greater choice and control over their lives and supports. </w:t>
      </w:r>
    </w:p>
    <w:p w14:paraId="286311E3" w14:textId="77777777" w:rsidR="00C0742F" w:rsidRPr="004E3921" w:rsidRDefault="0680612F" w:rsidP="0680612F">
      <w:pPr>
        <w:spacing w:after="0"/>
        <w:rPr>
          <w:b/>
          <w:bCs/>
        </w:rPr>
      </w:pPr>
      <w:r w:rsidRPr="0680612F">
        <w:rPr>
          <w:b/>
          <w:bCs/>
          <w:lang w:val="en-US"/>
        </w:rPr>
        <w:t xml:space="preserve">We drive systemic change through: </w:t>
      </w:r>
    </w:p>
    <w:p w14:paraId="7BB20AB3" w14:textId="77777777" w:rsidR="00C0742F" w:rsidRPr="004E3921" w:rsidRDefault="0680612F" w:rsidP="0680612F">
      <w:pPr>
        <w:pStyle w:val="ListParagraph"/>
        <w:numPr>
          <w:ilvl w:val="0"/>
          <w:numId w:val="26"/>
        </w:numPr>
        <w:spacing w:after="200"/>
        <w:rPr>
          <w:lang w:val="en-US"/>
        </w:rPr>
      </w:pPr>
      <w:r w:rsidRPr="0680612F">
        <w:rPr>
          <w:b/>
          <w:bCs/>
        </w:rPr>
        <w:t>Leadership:</w:t>
      </w:r>
      <w:r>
        <w:t xml:space="preserve"> reflecting the collective voice of disabled people, locally, </w:t>
      </w:r>
      <w:proofErr w:type="gramStart"/>
      <w:r>
        <w:t>nationally</w:t>
      </w:r>
      <w:proofErr w:type="gramEnd"/>
      <w:r>
        <w:t xml:space="preserve"> and internationally.</w:t>
      </w:r>
      <w:r w:rsidRPr="0680612F">
        <w:rPr>
          <w:lang w:val="en-US"/>
        </w:rPr>
        <w:t xml:space="preserve"> </w:t>
      </w:r>
    </w:p>
    <w:p w14:paraId="7851820A" w14:textId="77777777" w:rsidR="00C0742F" w:rsidRPr="004E3921" w:rsidRDefault="0680612F" w:rsidP="0680612F">
      <w:pPr>
        <w:pStyle w:val="ListParagraph"/>
        <w:numPr>
          <w:ilvl w:val="0"/>
          <w:numId w:val="26"/>
        </w:numPr>
        <w:spacing w:after="200"/>
        <w:rPr>
          <w:u w:val="single"/>
          <w:lang w:val="en-US"/>
        </w:rPr>
      </w:pPr>
      <w:r w:rsidRPr="0680612F">
        <w:rPr>
          <w:b/>
          <w:bCs/>
        </w:rPr>
        <w:t>Information and advice:</w:t>
      </w:r>
      <w:r>
        <w:t xml:space="preserve"> informing and advising on policies impacting on the lives of disabled people.</w:t>
      </w:r>
    </w:p>
    <w:p w14:paraId="69F6B423" w14:textId="77777777" w:rsidR="00C0742F" w:rsidRPr="004E3921" w:rsidRDefault="0680612F" w:rsidP="0680612F">
      <w:pPr>
        <w:pStyle w:val="ListParagraph"/>
        <w:numPr>
          <w:ilvl w:val="0"/>
          <w:numId w:val="26"/>
        </w:numPr>
        <w:spacing w:after="200"/>
      </w:pPr>
      <w:r w:rsidRPr="0680612F">
        <w:rPr>
          <w:b/>
          <w:bCs/>
        </w:rPr>
        <w:t>Advocacy:</w:t>
      </w:r>
      <w:r>
        <w:t xml:space="preserve"> supporting disabled people to have a voice, including a collective voice, in society.</w:t>
      </w:r>
    </w:p>
    <w:p w14:paraId="3869A252" w14:textId="77777777" w:rsidR="00C0742F" w:rsidRPr="004E3921" w:rsidRDefault="0680612F" w:rsidP="0680612F">
      <w:pPr>
        <w:pStyle w:val="ListParagraph"/>
        <w:numPr>
          <w:ilvl w:val="0"/>
          <w:numId w:val="26"/>
        </w:numPr>
        <w:spacing w:after="200"/>
      </w:pPr>
      <w:r w:rsidRPr="0680612F">
        <w:rPr>
          <w:b/>
          <w:bCs/>
        </w:rPr>
        <w:t>Monitoring:</w:t>
      </w:r>
      <w:r>
        <w:t xml:space="preserve"> monitoring and giving feedback on existing laws, </w:t>
      </w:r>
      <w:proofErr w:type="gramStart"/>
      <w:r>
        <w:t>policies</w:t>
      </w:r>
      <w:proofErr w:type="gramEnd"/>
      <w:r>
        <w:t xml:space="preserve"> and practices about and relevant to disabled people.</w:t>
      </w:r>
    </w:p>
    <w:p w14:paraId="76557482" w14:textId="77777777" w:rsidR="001D64D0" w:rsidRDefault="001D64D0">
      <w:pPr>
        <w:spacing w:after="160" w:line="259" w:lineRule="auto"/>
        <w:rPr>
          <w:rFonts w:eastAsiaTheme="majorEastAsia" w:cstheme="majorBidi"/>
          <w:b/>
          <w:color w:val="002060"/>
          <w:sz w:val="32"/>
          <w:szCs w:val="26"/>
        </w:rPr>
      </w:pPr>
      <w:r>
        <w:br w:type="page"/>
      </w:r>
    </w:p>
    <w:p w14:paraId="5E08C4C3" w14:textId="587E0A14" w:rsidR="00276E2E" w:rsidRDefault="0680612F" w:rsidP="001D64D0">
      <w:pPr>
        <w:pStyle w:val="Heading2"/>
        <w:rPr>
          <w:sz w:val="28"/>
          <w:szCs w:val="28"/>
        </w:rPr>
      </w:pPr>
      <w:r>
        <w:lastRenderedPageBreak/>
        <w:t xml:space="preserve">United </w:t>
      </w:r>
      <w:r w:rsidRPr="001D64D0">
        <w:t>Nations</w:t>
      </w:r>
      <w:r>
        <w:t xml:space="preserve"> Convention on the Rights of Persons with </w:t>
      </w:r>
      <w:r w:rsidRPr="001D64D0">
        <w:t>Disabilities</w:t>
      </w:r>
    </w:p>
    <w:p w14:paraId="11715FDC" w14:textId="75F33A7A" w:rsidR="00276E2E" w:rsidRDefault="00276E2E" w:rsidP="003359A6">
      <w:pPr>
        <w:spacing w:after="0"/>
      </w:pPr>
      <w:bookmarkStart w:id="0" w:name="_Ref33797632"/>
      <w:bookmarkStart w:id="1" w:name="_Toc35524849"/>
      <w:r>
        <w:t>DPA was influential in creating the United Nations Convention on the Rights of Persons with Disabilities (UNCRPD),</w:t>
      </w:r>
      <w:r>
        <w:rPr>
          <w:rStyle w:val="FootnoteReference"/>
        </w:rPr>
        <w:footnoteReference w:id="2"/>
      </w:r>
      <w: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There are a number of UNCRPD articles </w:t>
      </w:r>
      <w:r w:rsidR="00B87C03">
        <w:t>particularly relevant</w:t>
      </w:r>
      <w:r>
        <w:t xml:space="preserve"> to this submission, including:</w:t>
      </w:r>
    </w:p>
    <w:p w14:paraId="429CCF30" w14:textId="368B1F6A" w:rsidR="00AE7A55" w:rsidRDefault="0680612F" w:rsidP="00041038">
      <w:pPr>
        <w:pStyle w:val="ListParagraph"/>
        <w:numPr>
          <w:ilvl w:val="0"/>
          <w:numId w:val="33"/>
        </w:numPr>
      </w:pPr>
      <w:bookmarkStart w:id="2" w:name="_Toc41908928"/>
      <w:bookmarkStart w:id="3" w:name="_Toc41930991"/>
      <w:bookmarkEnd w:id="0"/>
      <w:bookmarkEnd w:id="1"/>
      <w:r w:rsidRPr="0680612F">
        <w:t>Article 4.3: Actively engaging with disabled people’s organisations</w:t>
      </w:r>
    </w:p>
    <w:p w14:paraId="14C67674" w14:textId="5B4EAE28" w:rsidR="001D64D0" w:rsidRPr="001D64D0" w:rsidRDefault="0680612F" w:rsidP="00041038">
      <w:pPr>
        <w:pStyle w:val="ListParagraph"/>
        <w:numPr>
          <w:ilvl w:val="0"/>
          <w:numId w:val="33"/>
        </w:numPr>
      </w:pPr>
      <w:r w:rsidRPr="0680612F">
        <w:t>Article 25: Health</w:t>
      </w:r>
    </w:p>
    <w:p w14:paraId="6A2ED120" w14:textId="51CD0717" w:rsidR="00276E2E" w:rsidRDefault="0680612F" w:rsidP="001D64D0">
      <w:pPr>
        <w:pStyle w:val="Heading2"/>
      </w:pPr>
      <w:r>
        <w:t>New Zealand Disability Strategy 2016-2026</w:t>
      </w:r>
      <w:bookmarkEnd w:id="2"/>
      <w:bookmarkEnd w:id="3"/>
    </w:p>
    <w:p w14:paraId="2119B0BD" w14:textId="301461AB" w:rsidR="00276E2E" w:rsidRDefault="00276E2E" w:rsidP="003359A6">
      <w:pPr>
        <w:spacing w:after="0"/>
      </w:pPr>
      <w:r>
        <w:t>Since ratifying the UNCRPD, the New Zealand Government has established a Disability Strategy</w:t>
      </w:r>
      <w:r>
        <w:rPr>
          <w:rStyle w:val="FootnoteReference"/>
        </w:rPr>
        <w:footnoteReference w:id="3"/>
      </w:r>
      <w:r>
        <w:t xml:space="preserve"> to guide the work of government agencies on disability issues. The vision is that New Zealand be a non-disabling society, where disabled people have equal opportunity to achieve their goals and aspirations, and that all of New Zealand works together to make this happen. It identifies eight outcome areas contributing to achieving this vision</w:t>
      </w:r>
      <w:r w:rsidR="00B87C03">
        <w:t>. There are a number of Strategy outcomes particularly relevant to this submission, including</w:t>
      </w:r>
      <w:r>
        <w:t>:</w:t>
      </w:r>
    </w:p>
    <w:p w14:paraId="39BE3405" w14:textId="396E5D1B" w:rsidR="0680612F" w:rsidRDefault="0680612F" w:rsidP="00041038">
      <w:pPr>
        <w:pStyle w:val="ListParagraph"/>
        <w:numPr>
          <w:ilvl w:val="0"/>
          <w:numId w:val="34"/>
        </w:numPr>
      </w:pPr>
      <w:r w:rsidRPr="0680612F">
        <w:t xml:space="preserve">Outcome 3 – Health and wellbeing </w:t>
      </w:r>
    </w:p>
    <w:p w14:paraId="5ED8313E" w14:textId="5BDC57F9" w:rsidR="00BB7E50" w:rsidRPr="00041038" w:rsidRDefault="0680612F" w:rsidP="00567E4A">
      <w:pPr>
        <w:pStyle w:val="Heading1"/>
        <w:spacing w:before="240" w:after="0"/>
      </w:pPr>
      <w:r>
        <w:t xml:space="preserve">The </w:t>
      </w:r>
      <w:r w:rsidRPr="001D64D0">
        <w:t>Submission</w:t>
      </w:r>
    </w:p>
    <w:p w14:paraId="1C085BD4" w14:textId="67B4A835" w:rsidR="007B3FD9" w:rsidRDefault="0680612F" w:rsidP="00567E4A">
      <w:pPr>
        <w:spacing w:before="240"/>
      </w:pPr>
      <w:r w:rsidRPr="0680612F">
        <w:t xml:space="preserve">DPA is pleased that Pharmac is reviewing the criteria for the </w:t>
      </w:r>
      <w:r w:rsidR="00C67408">
        <w:t xml:space="preserve">eligibility </w:t>
      </w:r>
      <w:r w:rsidR="00147980">
        <w:t xml:space="preserve">to receive </w:t>
      </w:r>
      <w:r w:rsidRPr="0680612F">
        <w:t>antiviral treatment for COVID-19. We support widening of the criteria and are really pleased to see that anyone receiving disability support services is eligible to receive antiviral treatments for COVID-19.</w:t>
      </w:r>
    </w:p>
    <w:p w14:paraId="28C40A35" w14:textId="77777777" w:rsidR="00F71341" w:rsidRDefault="00F71341">
      <w:pPr>
        <w:spacing w:after="160" w:line="259" w:lineRule="auto"/>
        <w:rPr>
          <w:rFonts w:eastAsia="Arial" w:cs="Arial"/>
        </w:rPr>
      </w:pPr>
      <w:r>
        <w:rPr>
          <w:rFonts w:eastAsia="Arial" w:cs="Arial"/>
        </w:rPr>
        <w:br w:type="page"/>
      </w:r>
    </w:p>
    <w:p w14:paraId="518CFF39" w14:textId="3933B8BB" w:rsidR="0089618F" w:rsidRDefault="0680612F" w:rsidP="0680612F">
      <w:pPr>
        <w:spacing w:before="120" w:after="0"/>
        <w:textAlignment w:val="baseline"/>
        <w:rPr>
          <w:rFonts w:eastAsia="Calibri"/>
          <w:color w:val="333333"/>
          <w:szCs w:val="24"/>
          <w:lang w:eastAsia="zh-TW"/>
        </w:rPr>
      </w:pPr>
      <w:r w:rsidRPr="0680612F">
        <w:rPr>
          <w:rFonts w:eastAsia="Arial" w:cs="Arial"/>
        </w:rPr>
        <w:lastRenderedPageBreak/>
        <w:t>However, we think the following criteria has been set too tightly:</w:t>
      </w:r>
    </w:p>
    <w:p w14:paraId="34A2B23B" w14:textId="0BFF8169" w:rsidR="0089618F" w:rsidRPr="001D64D0" w:rsidRDefault="001D64D0" w:rsidP="003359A6">
      <w:pPr>
        <w:pStyle w:val="IntenseQuote"/>
        <w:spacing w:line="360" w:lineRule="auto"/>
        <w:rPr>
          <w:rFonts w:eastAsia="Calibri"/>
          <w:i w:val="0"/>
          <w:iCs w:val="0"/>
          <w:szCs w:val="24"/>
          <w:lang w:eastAsia="zh-TW"/>
        </w:rPr>
      </w:pPr>
      <w:r w:rsidRPr="001D64D0">
        <w:rPr>
          <w:i w:val="0"/>
          <w:iCs w:val="0"/>
          <w:lang w:eastAsia="zh-TW"/>
        </w:rPr>
        <w:t>“</w:t>
      </w:r>
      <w:proofErr w:type="gramStart"/>
      <w:r w:rsidR="0680612F" w:rsidRPr="001D64D0">
        <w:rPr>
          <w:i w:val="0"/>
          <w:iCs w:val="0"/>
          <w:lang w:eastAsia="zh-TW"/>
        </w:rPr>
        <w:t>include</w:t>
      </w:r>
      <w:proofErr w:type="gramEnd"/>
      <w:r w:rsidR="0680612F" w:rsidRPr="001D64D0">
        <w:rPr>
          <w:i w:val="0"/>
          <w:iCs w:val="0"/>
          <w:lang w:eastAsia="zh-TW"/>
        </w:rPr>
        <w:t xml:space="preserve"> people with single conditions that mean they are at high risk of hospitalisation and death as a result of COVID-19 infection</w:t>
      </w:r>
      <w:r w:rsidR="003359A6">
        <w:rPr>
          <w:i w:val="0"/>
          <w:iCs w:val="0"/>
          <w:lang w:eastAsia="zh-TW"/>
        </w:rPr>
        <w:t>.</w:t>
      </w:r>
      <w:r w:rsidRPr="001D64D0">
        <w:rPr>
          <w:i w:val="0"/>
          <w:iCs w:val="0"/>
          <w:lang w:eastAsia="zh-TW"/>
        </w:rPr>
        <w:t>”</w:t>
      </w:r>
    </w:p>
    <w:p w14:paraId="1A71B787" w14:textId="426F5BA4" w:rsidR="00F34593" w:rsidRPr="00D73CCF" w:rsidRDefault="0680612F" w:rsidP="0680612F">
      <w:pPr>
        <w:shd w:val="clear" w:color="auto" w:fill="FFFFFF" w:themeFill="background1"/>
        <w:spacing w:before="120" w:after="0"/>
        <w:textAlignment w:val="baseline"/>
        <w:rPr>
          <w:rFonts w:eastAsia="Arial" w:cs="Arial"/>
          <w:lang w:eastAsia="zh-TW"/>
        </w:rPr>
      </w:pPr>
      <w:r w:rsidRPr="00D73CCF">
        <w:rPr>
          <w:rFonts w:eastAsia="Arial" w:cs="Arial"/>
          <w:lang w:eastAsia="zh-TW"/>
        </w:rPr>
        <w:t xml:space="preserve">DPA feels that ‘death’ sets </w:t>
      </w:r>
      <w:r w:rsidR="001D64D0" w:rsidRPr="00D73CCF">
        <w:rPr>
          <w:rFonts w:eastAsia="Arial" w:cs="Arial"/>
          <w:lang w:eastAsia="zh-TW"/>
        </w:rPr>
        <w:t>a very high</w:t>
      </w:r>
      <w:r w:rsidRPr="00D73CCF">
        <w:rPr>
          <w:rFonts w:eastAsia="Arial" w:cs="Arial"/>
          <w:lang w:eastAsia="zh-TW"/>
        </w:rPr>
        <w:t xml:space="preserve"> bar for access. If COVID-19 infection would worsen a pre-existing condition, then the person should be eligible to receive antiviral treatments. </w:t>
      </w:r>
    </w:p>
    <w:p w14:paraId="4756DA62" w14:textId="5F183F56" w:rsidR="00F34593" w:rsidRPr="00D73CCF" w:rsidRDefault="0680612F" w:rsidP="0680612F">
      <w:pPr>
        <w:shd w:val="clear" w:color="auto" w:fill="FFFFFF" w:themeFill="background1"/>
        <w:spacing w:before="120" w:after="0"/>
        <w:textAlignment w:val="baseline"/>
        <w:rPr>
          <w:rFonts w:eastAsia="Arial" w:cs="Arial"/>
          <w:lang w:eastAsia="zh-TW"/>
        </w:rPr>
      </w:pPr>
      <w:r w:rsidRPr="00D73CCF">
        <w:rPr>
          <w:rFonts w:eastAsia="Arial" w:cs="Arial"/>
          <w:lang w:eastAsia="zh-TW"/>
        </w:rPr>
        <w:t xml:space="preserve">We would like to see this criterion amended to: </w:t>
      </w:r>
    </w:p>
    <w:p w14:paraId="77C6D8B6" w14:textId="125530AD" w:rsidR="003359A6" w:rsidRPr="00D73CCF" w:rsidRDefault="001D64D0" w:rsidP="00567E4A">
      <w:pPr>
        <w:pStyle w:val="IntenseQuote"/>
        <w:spacing w:line="360" w:lineRule="auto"/>
        <w:rPr>
          <w:i w:val="0"/>
          <w:lang w:eastAsia="zh-TW"/>
        </w:rPr>
      </w:pPr>
      <w:r w:rsidRPr="00D73CCF">
        <w:rPr>
          <w:i w:val="0"/>
          <w:iCs w:val="0"/>
          <w:lang w:eastAsia="zh-TW"/>
        </w:rPr>
        <w:t>“</w:t>
      </w:r>
      <w:proofErr w:type="gramStart"/>
      <w:r w:rsidR="0680612F" w:rsidRPr="00D73CCF">
        <w:rPr>
          <w:i w:val="0"/>
          <w:iCs w:val="0"/>
          <w:lang w:eastAsia="zh-TW"/>
        </w:rPr>
        <w:t>include</w:t>
      </w:r>
      <w:proofErr w:type="gramEnd"/>
      <w:r w:rsidR="0680612F" w:rsidRPr="00D73CCF">
        <w:rPr>
          <w:i w:val="0"/>
          <w:iCs w:val="0"/>
          <w:lang w:eastAsia="zh-TW"/>
        </w:rPr>
        <w:t xml:space="preserve"> people with single conditions that mean they are at high risk of their pre-existing condition worsening or hospitalisation as a result of COVID-19 infection</w:t>
      </w:r>
      <w:r w:rsidR="00AA02DC" w:rsidRPr="00D73CCF">
        <w:rPr>
          <w:i w:val="0"/>
          <w:iCs w:val="0"/>
          <w:lang w:eastAsia="zh-TW"/>
        </w:rPr>
        <w:t>s.</w:t>
      </w:r>
    </w:p>
    <w:sectPr w:rsidR="003359A6" w:rsidRPr="00D73CCF" w:rsidSect="00975960">
      <w:headerReference w:type="even" r:id="rId22"/>
      <w:headerReference w:type="default" r:id="rId23"/>
      <w:footerReference w:type="even" r:id="rId24"/>
      <w:footerReference w:type="default" r:id="rId25"/>
      <w:headerReference w:type="first" r:id="rId26"/>
      <w:footerReference w:type="first" r:id="rId2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0239E" w14:textId="77777777" w:rsidR="0083344A" w:rsidRDefault="0083344A" w:rsidP="005602D3">
      <w:pPr>
        <w:spacing w:after="0" w:line="240" w:lineRule="auto"/>
      </w:pPr>
      <w:r>
        <w:separator/>
      </w:r>
    </w:p>
  </w:endnote>
  <w:endnote w:type="continuationSeparator" w:id="0">
    <w:p w14:paraId="0880DE4B" w14:textId="77777777" w:rsidR="0083344A" w:rsidRDefault="0083344A" w:rsidP="005602D3">
      <w:pPr>
        <w:spacing w:after="0" w:line="240" w:lineRule="auto"/>
      </w:pPr>
      <w:r>
        <w:continuationSeparator/>
      </w:r>
    </w:p>
  </w:endnote>
  <w:endnote w:type="continuationNotice" w:id="1">
    <w:p w14:paraId="73BA26F0" w14:textId="77777777" w:rsidR="0083344A" w:rsidRDefault="008334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39B3" w14:textId="77777777" w:rsidR="00C227BB" w:rsidRDefault="00C227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160A9" w14:textId="77777777" w:rsidR="00C227BB" w:rsidRDefault="00C227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A4D7A" w14:textId="77777777" w:rsidR="00C227BB" w:rsidRDefault="00C227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D8C73" w14:textId="77777777" w:rsidR="0083344A" w:rsidRDefault="0083344A" w:rsidP="005602D3">
      <w:pPr>
        <w:spacing w:after="0" w:line="240" w:lineRule="auto"/>
      </w:pPr>
    </w:p>
  </w:footnote>
  <w:footnote w:type="continuationSeparator" w:id="0">
    <w:p w14:paraId="20B72F4E" w14:textId="77777777" w:rsidR="0083344A" w:rsidRDefault="0083344A" w:rsidP="005602D3">
      <w:pPr>
        <w:spacing w:after="0" w:line="240" w:lineRule="auto"/>
      </w:pPr>
      <w:r>
        <w:continuationSeparator/>
      </w:r>
    </w:p>
  </w:footnote>
  <w:footnote w:type="continuationNotice" w:id="1">
    <w:p w14:paraId="14208E9F" w14:textId="77777777" w:rsidR="0083344A" w:rsidRPr="003D21B1" w:rsidRDefault="0083344A" w:rsidP="003D21B1">
      <w:pPr>
        <w:pStyle w:val="Footer"/>
      </w:pPr>
    </w:p>
  </w:footnote>
  <w:footnote w:id="2">
    <w:p w14:paraId="769DA1EA" w14:textId="77777777" w:rsidR="00276E2E" w:rsidRPr="00710222" w:rsidRDefault="00276E2E" w:rsidP="00276E2E">
      <w:pPr>
        <w:pStyle w:val="FootnoteText"/>
        <w:rPr>
          <w:rFonts w:cs="Arial"/>
        </w:rPr>
      </w:pPr>
      <w:r w:rsidRPr="00710222">
        <w:rPr>
          <w:rStyle w:val="FootnoteReference"/>
          <w:rFonts w:cs="Arial"/>
        </w:rPr>
        <w:footnoteRef/>
      </w:r>
      <w:r w:rsidRPr="00710222">
        <w:rPr>
          <w:rFonts w:cs="Arial"/>
        </w:rPr>
        <w:t xml:space="preserve"> United Nations. (2006). </w:t>
      </w:r>
      <w:r w:rsidRPr="00710222">
        <w:rPr>
          <w:rFonts w:cs="Arial"/>
          <w:i/>
          <w:iCs/>
        </w:rPr>
        <w:t xml:space="preserve">United Nations Convention on the Rights of People with Disabilities. </w:t>
      </w:r>
      <w:r w:rsidRPr="00710222">
        <w:rPr>
          <w:rFonts w:cs="Arial"/>
        </w:rPr>
        <w:t xml:space="preserve">Retrieved from: </w:t>
      </w:r>
      <w:hyperlink r:id="rId1" w:history="1">
        <w:r w:rsidRPr="00710222">
          <w:rPr>
            <w:rStyle w:val="Hyperlink"/>
            <w:rFonts w:cs="Arial"/>
          </w:rPr>
          <w:t>https://www.un.org/disabilities/documents/convention/convoptprot-e.pdf</w:t>
        </w:r>
      </w:hyperlink>
    </w:p>
  </w:footnote>
  <w:footnote w:id="3">
    <w:p w14:paraId="185983CC" w14:textId="77777777" w:rsidR="00AA0C40" w:rsidRDefault="00276E2E" w:rsidP="00276E2E">
      <w:pPr>
        <w:pStyle w:val="FootnoteText"/>
        <w:rPr>
          <w:rFonts w:cs="Arial"/>
        </w:rPr>
      </w:pPr>
      <w:r w:rsidRPr="00710222">
        <w:rPr>
          <w:rStyle w:val="FootnoteReference"/>
          <w:rFonts w:cs="Arial"/>
        </w:rPr>
        <w:footnoteRef/>
      </w:r>
    </w:p>
    <w:p w14:paraId="4A286D51" w14:textId="54BCC533" w:rsidR="00276E2E" w:rsidRPr="00710222" w:rsidRDefault="00276E2E" w:rsidP="00276E2E">
      <w:pPr>
        <w:pStyle w:val="FootnoteText"/>
        <w:rPr>
          <w:rFonts w:cs="Arial"/>
        </w:rPr>
      </w:pPr>
      <w:r w:rsidRPr="00710222">
        <w:rPr>
          <w:rFonts w:cs="Arial"/>
        </w:rPr>
        <w:t xml:space="preserve"> Office for Disability Issues. (2016). </w:t>
      </w:r>
      <w:r w:rsidRPr="00710222">
        <w:rPr>
          <w:rFonts w:cs="Arial"/>
          <w:i/>
          <w:iCs/>
        </w:rPr>
        <w:t>New Zealand Disability Strategy.</w:t>
      </w:r>
      <w:r w:rsidRPr="00710222">
        <w:rPr>
          <w:rFonts w:cs="Arial"/>
        </w:rPr>
        <w:t xml:space="preserve"> Retrieved from: </w:t>
      </w:r>
      <w:hyperlink r:id="rId2" w:history="1">
        <w:r w:rsidR="00567E4A" w:rsidRPr="00441368">
          <w:rPr>
            <w:rStyle w:val="Hyperlink"/>
            <w:rFonts w:cs="Arial"/>
          </w:rPr>
          <w:t>https://www.odi.govt.nz/nz-disability-strategy/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0CE03" w14:textId="77777777" w:rsidR="00C227BB" w:rsidRDefault="00C22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6821" w14:textId="77777777" w:rsidR="00C227BB" w:rsidRDefault="00C227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43BAF" w14:textId="77777777" w:rsidR="00C227BB" w:rsidRDefault="00C227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9541F36"/>
    <w:multiLevelType w:val="hybridMultilevel"/>
    <w:tmpl w:val="347A7E2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76D5DFD"/>
    <w:multiLevelType w:val="hybridMultilevel"/>
    <w:tmpl w:val="DCEC04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2E8B62BB"/>
    <w:multiLevelType w:val="multilevel"/>
    <w:tmpl w:val="5ED80E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BE92900"/>
    <w:multiLevelType w:val="multilevel"/>
    <w:tmpl w:val="654EF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28265334">
    <w:abstractNumId w:val="20"/>
  </w:num>
  <w:num w:numId="2" w16cid:durableId="1192037444">
    <w:abstractNumId w:val="7"/>
  </w:num>
  <w:num w:numId="3" w16cid:durableId="356932750">
    <w:abstractNumId w:val="3"/>
  </w:num>
  <w:num w:numId="4" w16cid:durableId="220167830">
    <w:abstractNumId w:val="23"/>
  </w:num>
  <w:num w:numId="5" w16cid:durableId="25301161">
    <w:abstractNumId w:val="16"/>
  </w:num>
  <w:num w:numId="6" w16cid:durableId="1751850489">
    <w:abstractNumId w:val="18"/>
  </w:num>
  <w:num w:numId="7" w16cid:durableId="705910267">
    <w:abstractNumId w:val="28"/>
  </w:num>
  <w:num w:numId="8" w16cid:durableId="268657952">
    <w:abstractNumId w:val="27"/>
  </w:num>
  <w:num w:numId="9" w16cid:durableId="1116290010">
    <w:abstractNumId w:val="30"/>
  </w:num>
  <w:num w:numId="10" w16cid:durableId="737554353">
    <w:abstractNumId w:val="9"/>
  </w:num>
  <w:num w:numId="11" w16cid:durableId="1447189783">
    <w:abstractNumId w:val="6"/>
  </w:num>
  <w:num w:numId="12" w16cid:durableId="446513715">
    <w:abstractNumId w:val="5"/>
  </w:num>
  <w:num w:numId="13" w16cid:durableId="1488085910">
    <w:abstractNumId w:val="4"/>
  </w:num>
  <w:num w:numId="14" w16cid:durableId="462431353">
    <w:abstractNumId w:val="8"/>
  </w:num>
  <w:num w:numId="15" w16cid:durableId="791939577">
    <w:abstractNumId w:val="2"/>
  </w:num>
  <w:num w:numId="16" w16cid:durableId="1008630470">
    <w:abstractNumId w:val="1"/>
  </w:num>
  <w:num w:numId="17" w16cid:durableId="2060470008">
    <w:abstractNumId w:val="0"/>
  </w:num>
  <w:num w:numId="18" w16cid:durableId="1979335420">
    <w:abstractNumId w:val="33"/>
  </w:num>
  <w:num w:numId="19" w16cid:durableId="125314328">
    <w:abstractNumId w:val="21"/>
  </w:num>
  <w:num w:numId="20" w16cid:durableId="196626558">
    <w:abstractNumId w:val="26"/>
  </w:num>
  <w:num w:numId="21" w16cid:durableId="992493483">
    <w:abstractNumId w:val="24"/>
  </w:num>
  <w:num w:numId="22" w16cid:durableId="884218452">
    <w:abstractNumId w:val="19"/>
  </w:num>
  <w:num w:numId="23" w16cid:durableId="998342359">
    <w:abstractNumId w:val="29"/>
  </w:num>
  <w:num w:numId="24" w16cid:durableId="521473645">
    <w:abstractNumId w:val="14"/>
  </w:num>
  <w:num w:numId="25" w16cid:durableId="1425418937">
    <w:abstractNumId w:val="25"/>
  </w:num>
  <w:num w:numId="26" w16cid:durableId="617758634">
    <w:abstractNumId w:val="22"/>
  </w:num>
  <w:num w:numId="27" w16cid:durableId="1378119871">
    <w:abstractNumId w:val="17"/>
  </w:num>
  <w:num w:numId="28" w16cid:durableId="1914273176">
    <w:abstractNumId w:val="12"/>
  </w:num>
  <w:num w:numId="29" w16cid:durableId="571743726">
    <w:abstractNumId w:val="32"/>
  </w:num>
  <w:num w:numId="30" w16cid:durableId="434249693">
    <w:abstractNumId w:val="10"/>
  </w:num>
  <w:num w:numId="31" w16cid:durableId="66273621">
    <w:abstractNumId w:val="15"/>
  </w:num>
  <w:num w:numId="32" w16cid:durableId="1400590732">
    <w:abstractNumId w:val="31"/>
  </w:num>
  <w:num w:numId="33" w16cid:durableId="1019746368">
    <w:abstractNumId w:val="11"/>
  </w:num>
  <w:num w:numId="34" w16cid:durableId="192861141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69D0"/>
    <w:rsid w:val="00030886"/>
    <w:rsid w:val="00031508"/>
    <w:rsid w:val="00032A54"/>
    <w:rsid w:val="00032AC8"/>
    <w:rsid w:val="00035CDA"/>
    <w:rsid w:val="00041038"/>
    <w:rsid w:val="00043C03"/>
    <w:rsid w:val="00043EEA"/>
    <w:rsid w:val="0004616F"/>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16FBE"/>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980"/>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3E2"/>
    <w:rsid w:val="001B1491"/>
    <w:rsid w:val="001B184E"/>
    <w:rsid w:val="001B492D"/>
    <w:rsid w:val="001B4DFE"/>
    <w:rsid w:val="001B6F4A"/>
    <w:rsid w:val="001B7AE4"/>
    <w:rsid w:val="001C127F"/>
    <w:rsid w:val="001C1E7D"/>
    <w:rsid w:val="001C32DB"/>
    <w:rsid w:val="001C37C4"/>
    <w:rsid w:val="001C380D"/>
    <w:rsid w:val="001C3BA4"/>
    <w:rsid w:val="001C4556"/>
    <w:rsid w:val="001C57E8"/>
    <w:rsid w:val="001C6679"/>
    <w:rsid w:val="001C77CD"/>
    <w:rsid w:val="001D0A95"/>
    <w:rsid w:val="001D214E"/>
    <w:rsid w:val="001D245E"/>
    <w:rsid w:val="001D249F"/>
    <w:rsid w:val="001D3044"/>
    <w:rsid w:val="001D3627"/>
    <w:rsid w:val="001D4289"/>
    <w:rsid w:val="001D4F95"/>
    <w:rsid w:val="001D5C1C"/>
    <w:rsid w:val="001D625B"/>
    <w:rsid w:val="001D64D0"/>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8757A"/>
    <w:rsid w:val="00291731"/>
    <w:rsid w:val="00291A2D"/>
    <w:rsid w:val="00291F3E"/>
    <w:rsid w:val="002929D7"/>
    <w:rsid w:val="00292F35"/>
    <w:rsid w:val="00294221"/>
    <w:rsid w:val="00295C21"/>
    <w:rsid w:val="002A0400"/>
    <w:rsid w:val="002A1273"/>
    <w:rsid w:val="002A25CE"/>
    <w:rsid w:val="002A5A57"/>
    <w:rsid w:val="002A64BE"/>
    <w:rsid w:val="002B2FBD"/>
    <w:rsid w:val="002B337A"/>
    <w:rsid w:val="002B4729"/>
    <w:rsid w:val="002B51D8"/>
    <w:rsid w:val="002C0B9B"/>
    <w:rsid w:val="002C0DB2"/>
    <w:rsid w:val="002C0E3B"/>
    <w:rsid w:val="002C4113"/>
    <w:rsid w:val="002C4EB7"/>
    <w:rsid w:val="002C5E0F"/>
    <w:rsid w:val="002C6655"/>
    <w:rsid w:val="002C719C"/>
    <w:rsid w:val="002C7274"/>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672"/>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59A6"/>
    <w:rsid w:val="00336C51"/>
    <w:rsid w:val="0034167C"/>
    <w:rsid w:val="00341F85"/>
    <w:rsid w:val="00343DB1"/>
    <w:rsid w:val="00345329"/>
    <w:rsid w:val="00345647"/>
    <w:rsid w:val="003467AC"/>
    <w:rsid w:val="00346C40"/>
    <w:rsid w:val="00347906"/>
    <w:rsid w:val="0035075B"/>
    <w:rsid w:val="00350B21"/>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4380"/>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1561"/>
    <w:rsid w:val="003C2943"/>
    <w:rsid w:val="003C589A"/>
    <w:rsid w:val="003D05A8"/>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556F"/>
    <w:rsid w:val="00407686"/>
    <w:rsid w:val="00413279"/>
    <w:rsid w:val="00416ADA"/>
    <w:rsid w:val="00416AF1"/>
    <w:rsid w:val="0041770A"/>
    <w:rsid w:val="004257D4"/>
    <w:rsid w:val="0042693C"/>
    <w:rsid w:val="00431A03"/>
    <w:rsid w:val="0043469A"/>
    <w:rsid w:val="00440A24"/>
    <w:rsid w:val="004437FA"/>
    <w:rsid w:val="0044596C"/>
    <w:rsid w:val="00445B0C"/>
    <w:rsid w:val="00447D0A"/>
    <w:rsid w:val="00452BF2"/>
    <w:rsid w:val="004536F1"/>
    <w:rsid w:val="0045411C"/>
    <w:rsid w:val="00456089"/>
    <w:rsid w:val="00461664"/>
    <w:rsid w:val="00462C33"/>
    <w:rsid w:val="004644FA"/>
    <w:rsid w:val="00466D3B"/>
    <w:rsid w:val="004677E9"/>
    <w:rsid w:val="00467FEF"/>
    <w:rsid w:val="004704EF"/>
    <w:rsid w:val="00470A10"/>
    <w:rsid w:val="004737BE"/>
    <w:rsid w:val="004739FA"/>
    <w:rsid w:val="00473C39"/>
    <w:rsid w:val="004757BD"/>
    <w:rsid w:val="00477F8C"/>
    <w:rsid w:val="00480677"/>
    <w:rsid w:val="00480F69"/>
    <w:rsid w:val="00485911"/>
    <w:rsid w:val="0048732F"/>
    <w:rsid w:val="00493AE0"/>
    <w:rsid w:val="004941FC"/>
    <w:rsid w:val="00494B90"/>
    <w:rsid w:val="004A0B69"/>
    <w:rsid w:val="004A0DF2"/>
    <w:rsid w:val="004A138A"/>
    <w:rsid w:val="004A23D4"/>
    <w:rsid w:val="004A3887"/>
    <w:rsid w:val="004A42AE"/>
    <w:rsid w:val="004A491A"/>
    <w:rsid w:val="004A53BC"/>
    <w:rsid w:val="004B1B43"/>
    <w:rsid w:val="004B4E31"/>
    <w:rsid w:val="004B646A"/>
    <w:rsid w:val="004B7B9F"/>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6FAF"/>
    <w:rsid w:val="00567E4A"/>
    <w:rsid w:val="005704AB"/>
    <w:rsid w:val="0057174C"/>
    <w:rsid w:val="00572440"/>
    <w:rsid w:val="0057566C"/>
    <w:rsid w:val="00577AB5"/>
    <w:rsid w:val="00577E78"/>
    <w:rsid w:val="005847A3"/>
    <w:rsid w:val="00584E35"/>
    <w:rsid w:val="00585147"/>
    <w:rsid w:val="0058531E"/>
    <w:rsid w:val="00586AB6"/>
    <w:rsid w:val="00586D24"/>
    <w:rsid w:val="0058721E"/>
    <w:rsid w:val="00587427"/>
    <w:rsid w:val="00587C9C"/>
    <w:rsid w:val="00590C95"/>
    <w:rsid w:val="00590E93"/>
    <w:rsid w:val="00593654"/>
    <w:rsid w:val="005939AD"/>
    <w:rsid w:val="005944CE"/>
    <w:rsid w:val="00594FE4"/>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4E9D"/>
    <w:rsid w:val="00616B4B"/>
    <w:rsid w:val="00617066"/>
    <w:rsid w:val="00621637"/>
    <w:rsid w:val="00621FB1"/>
    <w:rsid w:val="00622705"/>
    <w:rsid w:val="0062396E"/>
    <w:rsid w:val="0062495B"/>
    <w:rsid w:val="00625C9C"/>
    <w:rsid w:val="00627D14"/>
    <w:rsid w:val="00632260"/>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5F29"/>
    <w:rsid w:val="006664EC"/>
    <w:rsid w:val="00666C52"/>
    <w:rsid w:val="00671843"/>
    <w:rsid w:val="00672F6F"/>
    <w:rsid w:val="006730E5"/>
    <w:rsid w:val="006743EA"/>
    <w:rsid w:val="0068043B"/>
    <w:rsid w:val="0068136C"/>
    <w:rsid w:val="006822C4"/>
    <w:rsid w:val="0068241D"/>
    <w:rsid w:val="00683382"/>
    <w:rsid w:val="00683519"/>
    <w:rsid w:val="00692471"/>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28D2"/>
    <w:rsid w:val="006C2C57"/>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A3E89"/>
    <w:rsid w:val="007B2062"/>
    <w:rsid w:val="007B291C"/>
    <w:rsid w:val="007B2A92"/>
    <w:rsid w:val="007B3FD9"/>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37FC"/>
    <w:rsid w:val="007E4C03"/>
    <w:rsid w:val="007E68F0"/>
    <w:rsid w:val="007F0309"/>
    <w:rsid w:val="007F058C"/>
    <w:rsid w:val="007F1410"/>
    <w:rsid w:val="007F49E5"/>
    <w:rsid w:val="007F7723"/>
    <w:rsid w:val="008008CC"/>
    <w:rsid w:val="00800CC5"/>
    <w:rsid w:val="008023F0"/>
    <w:rsid w:val="0080481D"/>
    <w:rsid w:val="00806569"/>
    <w:rsid w:val="00807730"/>
    <w:rsid w:val="00810272"/>
    <w:rsid w:val="00810284"/>
    <w:rsid w:val="0082039C"/>
    <w:rsid w:val="008211F1"/>
    <w:rsid w:val="0082155D"/>
    <w:rsid w:val="00822128"/>
    <w:rsid w:val="00824B8D"/>
    <w:rsid w:val="00826916"/>
    <w:rsid w:val="0082745E"/>
    <w:rsid w:val="00832012"/>
    <w:rsid w:val="0083344A"/>
    <w:rsid w:val="008358AC"/>
    <w:rsid w:val="00835A45"/>
    <w:rsid w:val="0083604C"/>
    <w:rsid w:val="00836966"/>
    <w:rsid w:val="00837278"/>
    <w:rsid w:val="008376F9"/>
    <w:rsid w:val="008406B2"/>
    <w:rsid w:val="00840B74"/>
    <w:rsid w:val="00841CB2"/>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9618F"/>
    <w:rsid w:val="008A3100"/>
    <w:rsid w:val="008A40D9"/>
    <w:rsid w:val="008B0EB4"/>
    <w:rsid w:val="008B5081"/>
    <w:rsid w:val="008C2A2D"/>
    <w:rsid w:val="008C3410"/>
    <w:rsid w:val="008C3D90"/>
    <w:rsid w:val="008C4284"/>
    <w:rsid w:val="008C51A3"/>
    <w:rsid w:val="008C794B"/>
    <w:rsid w:val="008D00B5"/>
    <w:rsid w:val="008D01E7"/>
    <w:rsid w:val="008D2275"/>
    <w:rsid w:val="008D2BDD"/>
    <w:rsid w:val="008D5873"/>
    <w:rsid w:val="008D6F88"/>
    <w:rsid w:val="008D7FD4"/>
    <w:rsid w:val="008E076D"/>
    <w:rsid w:val="008E2517"/>
    <w:rsid w:val="008E2F47"/>
    <w:rsid w:val="008E6986"/>
    <w:rsid w:val="008E7218"/>
    <w:rsid w:val="008E7443"/>
    <w:rsid w:val="008F0D7D"/>
    <w:rsid w:val="008F2D57"/>
    <w:rsid w:val="008F413F"/>
    <w:rsid w:val="008F4FC4"/>
    <w:rsid w:val="008F5001"/>
    <w:rsid w:val="008F698B"/>
    <w:rsid w:val="00900064"/>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4D6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2757"/>
    <w:rsid w:val="00A053B0"/>
    <w:rsid w:val="00A06076"/>
    <w:rsid w:val="00A0623E"/>
    <w:rsid w:val="00A07318"/>
    <w:rsid w:val="00A07BE2"/>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54A"/>
    <w:rsid w:val="00AA02DC"/>
    <w:rsid w:val="00AA0C40"/>
    <w:rsid w:val="00AA1C94"/>
    <w:rsid w:val="00AA300F"/>
    <w:rsid w:val="00AA3058"/>
    <w:rsid w:val="00AA3097"/>
    <w:rsid w:val="00AA6458"/>
    <w:rsid w:val="00AB0302"/>
    <w:rsid w:val="00AB0B6F"/>
    <w:rsid w:val="00AB0C87"/>
    <w:rsid w:val="00AB1EB6"/>
    <w:rsid w:val="00AB4A06"/>
    <w:rsid w:val="00AB5A1A"/>
    <w:rsid w:val="00AB6143"/>
    <w:rsid w:val="00AC0C97"/>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E7A55"/>
    <w:rsid w:val="00AF1E37"/>
    <w:rsid w:val="00AF2022"/>
    <w:rsid w:val="00AF2D69"/>
    <w:rsid w:val="00AF38BA"/>
    <w:rsid w:val="00AF4E1C"/>
    <w:rsid w:val="00AF4FDB"/>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703D"/>
    <w:rsid w:val="00B274DE"/>
    <w:rsid w:val="00B3015E"/>
    <w:rsid w:val="00B31271"/>
    <w:rsid w:val="00B32442"/>
    <w:rsid w:val="00B32738"/>
    <w:rsid w:val="00B32BAA"/>
    <w:rsid w:val="00B34215"/>
    <w:rsid w:val="00B372BE"/>
    <w:rsid w:val="00B37BFA"/>
    <w:rsid w:val="00B37E72"/>
    <w:rsid w:val="00B40E17"/>
    <w:rsid w:val="00B41C8B"/>
    <w:rsid w:val="00B42110"/>
    <w:rsid w:val="00B42A61"/>
    <w:rsid w:val="00B4373E"/>
    <w:rsid w:val="00B4464C"/>
    <w:rsid w:val="00B45755"/>
    <w:rsid w:val="00B462ED"/>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633"/>
    <w:rsid w:val="00BC2B4C"/>
    <w:rsid w:val="00BC567F"/>
    <w:rsid w:val="00BD0405"/>
    <w:rsid w:val="00BD10A4"/>
    <w:rsid w:val="00BD1F12"/>
    <w:rsid w:val="00BD5CC4"/>
    <w:rsid w:val="00BD7889"/>
    <w:rsid w:val="00BE0DBB"/>
    <w:rsid w:val="00BE11C1"/>
    <w:rsid w:val="00BE11E2"/>
    <w:rsid w:val="00BE20B8"/>
    <w:rsid w:val="00BE266C"/>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2AC7"/>
    <w:rsid w:val="00C03C55"/>
    <w:rsid w:val="00C0691B"/>
    <w:rsid w:val="00C06D56"/>
    <w:rsid w:val="00C0742F"/>
    <w:rsid w:val="00C103F3"/>
    <w:rsid w:val="00C111DF"/>
    <w:rsid w:val="00C171C1"/>
    <w:rsid w:val="00C172A3"/>
    <w:rsid w:val="00C201B0"/>
    <w:rsid w:val="00C20718"/>
    <w:rsid w:val="00C20C6C"/>
    <w:rsid w:val="00C2172B"/>
    <w:rsid w:val="00C21B3E"/>
    <w:rsid w:val="00C227BB"/>
    <w:rsid w:val="00C2438E"/>
    <w:rsid w:val="00C30779"/>
    <w:rsid w:val="00C30965"/>
    <w:rsid w:val="00C34B5C"/>
    <w:rsid w:val="00C351C8"/>
    <w:rsid w:val="00C3691C"/>
    <w:rsid w:val="00C43B4C"/>
    <w:rsid w:val="00C448CB"/>
    <w:rsid w:val="00C526A3"/>
    <w:rsid w:val="00C556D8"/>
    <w:rsid w:val="00C57293"/>
    <w:rsid w:val="00C5793D"/>
    <w:rsid w:val="00C60BB3"/>
    <w:rsid w:val="00C6184B"/>
    <w:rsid w:val="00C61E0C"/>
    <w:rsid w:val="00C63718"/>
    <w:rsid w:val="00C63DE0"/>
    <w:rsid w:val="00C6499B"/>
    <w:rsid w:val="00C64E18"/>
    <w:rsid w:val="00C65AA1"/>
    <w:rsid w:val="00C65B5A"/>
    <w:rsid w:val="00C669CB"/>
    <w:rsid w:val="00C67408"/>
    <w:rsid w:val="00C67BA1"/>
    <w:rsid w:val="00C71E75"/>
    <w:rsid w:val="00C763B8"/>
    <w:rsid w:val="00C76A40"/>
    <w:rsid w:val="00C77746"/>
    <w:rsid w:val="00C805AD"/>
    <w:rsid w:val="00C8097A"/>
    <w:rsid w:val="00C82BD4"/>
    <w:rsid w:val="00C83CD2"/>
    <w:rsid w:val="00C857D1"/>
    <w:rsid w:val="00C878F5"/>
    <w:rsid w:val="00C93853"/>
    <w:rsid w:val="00C93B2E"/>
    <w:rsid w:val="00C96948"/>
    <w:rsid w:val="00C97F57"/>
    <w:rsid w:val="00CA1479"/>
    <w:rsid w:val="00CA3AB9"/>
    <w:rsid w:val="00CA6C84"/>
    <w:rsid w:val="00CB016E"/>
    <w:rsid w:val="00CB3794"/>
    <w:rsid w:val="00CB699D"/>
    <w:rsid w:val="00CB69E3"/>
    <w:rsid w:val="00CC1B97"/>
    <w:rsid w:val="00CC2245"/>
    <w:rsid w:val="00CC476A"/>
    <w:rsid w:val="00CC5281"/>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6E6F"/>
    <w:rsid w:val="00CF7767"/>
    <w:rsid w:val="00D0003F"/>
    <w:rsid w:val="00D02073"/>
    <w:rsid w:val="00D02F9D"/>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482"/>
    <w:rsid w:val="00D52922"/>
    <w:rsid w:val="00D56E29"/>
    <w:rsid w:val="00D5776F"/>
    <w:rsid w:val="00D57D5F"/>
    <w:rsid w:val="00D6060A"/>
    <w:rsid w:val="00D6271C"/>
    <w:rsid w:val="00D64E13"/>
    <w:rsid w:val="00D65489"/>
    <w:rsid w:val="00D65B4A"/>
    <w:rsid w:val="00D6714A"/>
    <w:rsid w:val="00D73CCF"/>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43"/>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493"/>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908B0"/>
    <w:rsid w:val="00E91182"/>
    <w:rsid w:val="00E92340"/>
    <w:rsid w:val="00E926AF"/>
    <w:rsid w:val="00E928E4"/>
    <w:rsid w:val="00E93D72"/>
    <w:rsid w:val="00E95F1A"/>
    <w:rsid w:val="00EA0D94"/>
    <w:rsid w:val="00EA145E"/>
    <w:rsid w:val="00EA364C"/>
    <w:rsid w:val="00EA3BC4"/>
    <w:rsid w:val="00EA483A"/>
    <w:rsid w:val="00EA4885"/>
    <w:rsid w:val="00EA4D5D"/>
    <w:rsid w:val="00EA7D2C"/>
    <w:rsid w:val="00EB0DAB"/>
    <w:rsid w:val="00EB249D"/>
    <w:rsid w:val="00EB418E"/>
    <w:rsid w:val="00EB6445"/>
    <w:rsid w:val="00EB72AD"/>
    <w:rsid w:val="00EC1F2C"/>
    <w:rsid w:val="00EC2031"/>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F029AC"/>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4593"/>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1341"/>
    <w:rsid w:val="00F72601"/>
    <w:rsid w:val="00F73762"/>
    <w:rsid w:val="00F7410C"/>
    <w:rsid w:val="00F800B3"/>
    <w:rsid w:val="00F8077B"/>
    <w:rsid w:val="00F81A3D"/>
    <w:rsid w:val="00F83DC1"/>
    <w:rsid w:val="00F8464B"/>
    <w:rsid w:val="00F85989"/>
    <w:rsid w:val="00F87C44"/>
    <w:rsid w:val="00F902F2"/>
    <w:rsid w:val="00F92380"/>
    <w:rsid w:val="00F93451"/>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B20"/>
    <w:rsid w:val="00FE339D"/>
    <w:rsid w:val="00FE43D7"/>
    <w:rsid w:val="00FE4B29"/>
    <w:rsid w:val="00FE4D56"/>
    <w:rsid w:val="00FE6DB9"/>
    <w:rsid w:val="00FE710D"/>
    <w:rsid w:val="00FE7816"/>
    <w:rsid w:val="00FE7935"/>
    <w:rsid w:val="00FE7983"/>
    <w:rsid w:val="00FF015B"/>
    <w:rsid w:val="00FF698D"/>
    <w:rsid w:val="00FF7BDF"/>
    <w:rsid w:val="0251F4DC"/>
    <w:rsid w:val="025DE97D"/>
    <w:rsid w:val="0680612F"/>
    <w:rsid w:val="0A6FCEE9"/>
    <w:rsid w:val="0C5D005F"/>
    <w:rsid w:val="1357158B"/>
    <w:rsid w:val="1527B478"/>
    <w:rsid w:val="1CC79082"/>
    <w:rsid w:val="35A8198D"/>
    <w:rsid w:val="38BCFB06"/>
    <w:rsid w:val="417185E9"/>
    <w:rsid w:val="43C4D4E6"/>
    <w:rsid w:val="4C7A2CC1"/>
    <w:rsid w:val="52475C71"/>
    <w:rsid w:val="5708E0EC"/>
    <w:rsid w:val="594D09B5"/>
    <w:rsid w:val="706795DA"/>
    <w:rsid w:val="737CCECD"/>
    <w:rsid w:val="76983963"/>
    <w:rsid w:val="7ABDDB9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9872D5CA-35F0-4584-A401-FA7C8EF83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4D0"/>
    <w:pPr>
      <w:spacing w:after="240" w:line="36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64D0"/>
    <w:pPr>
      <w:keepNext/>
      <w:keepLines/>
      <w:spacing w:before="240" w:after="48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4"/>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2"/>
      </w:numPr>
      <w:contextualSpacing/>
    </w:pPr>
  </w:style>
  <w:style w:type="paragraph" w:styleId="ListNumber2">
    <w:name w:val="List Number 2"/>
    <w:basedOn w:val="Normal"/>
    <w:uiPriority w:val="10"/>
    <w:qFormat/>
    <w:rsid w:val="00DD76BA"/>
    <w:pPr>
      <w:numPr>
        <w:numId w:val="3"/>
      </w:numPr>
      <w:contextualSpacing/>
    </w:pPr>
  </w:style>
  <w:style w:type="character" w:customStyle="1" w:styleId="Heading3Char">
    <w:name w:val="Heading 3 Char"/>
    <w:basedOn w:val="DefaultParagraphFont"/>
    <w:link w:val="Heading3"/>
    <w:uiPriority w:val="9"/>
    <w:rsid w:val="001D64D0"/>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219480760">
      <w:bodyDiv w:val="1"/>
      <w:marLeft w:val="0"/>
      <w:marRight w:val="0"/>
      <w:marTop w:val="0"/>
      <w:marBottom w:val="0"/>
      <w:divBdr>
        <w:top w:val="none" w:sz="0" w:space="0" w:color="auto"/>
        <w:left w:val="none" w:sz="0" w:space="0" w:color="auto"/>
        <w:bottom w:val="none" w:sz="0" w:space="0" w:color="auto"/>
        <w:right w:val="none" w:sz="0" w:space="0" w:color="auto"/>
      </w:divBdr>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odi.govt.nz/nz-disability-strategy/"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moh.govt.nz/notebook/nbbooks.nsf/0/5E544A3A23BEAECDCC2580FE007F7518/$file/faiva-ora-2016-2021-national-pasifika-disability-plan-feb17.pdf"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un.org/development/desa/disabilities/convention-on-the-rights-of-persons-with-disabilities.html"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odi.govt.nz/guidance-and-resources/guidance-for-policy-makes/" TargetMode="External"/><Relationship Id="rId20" Type="http://schemas.openxmlformats.org/officeDocument/2006/relationships/hyperlink" Target="https://www.health.govt.nz/publication/whaia-te-ao-marama-2018-2022-maori-disability-action-pla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rchives.govt.nz/discover-our-stories/the-treaty-of-waitangi"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nablinggoodlives.co.nz/about-egl/egl-approach/princip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odi.govt.nz/nz-disability-strategy/" TargetMode="External"/><Relationship Id="rId1" Type="http://schemas.openxmlformats.org/officeDocument/2006/relationships/hyperlink" Target="https://www.un.org/disabilities/documents/convention/convoptprot-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SharedWithUsers xmlns="d2301f34-5cde-48a5-92d5-a0089b6a6a0e">
      <UserInfo>
        <DisplayName>Paul Brown</DisplayName>
        <AccountId>35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0AEB22-13F0-4141-80FA-8FFE373C7EC1}">
  <ds:schemaRefs>
    <ds:schemaRef ds:uri="http://schemas.microsoft.com/office/2006/metadata/properties"/>
    <ds:schemaRef ds:uri="http://schemas.microsoft.com/office/infopath/2007/PartnerControls"/>
    <ds:schemaRef ds:uri="c67b1871-600f-4b9e-a4b1-ab314be2ee20"/>
    <ds:schemaRef ds:uri="d2301f34-5cde-48a5-92d5-a0089b6a6a0e"/>
  </ds:schemaRefs>
</ds:datastoreItem>
</file>

<file path=customXml/itemProps2.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3.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4.xml><?xml version="1.0" encoding="utf-8"?>
<ds:datastoreItem xmlns:ds="http://schemas.openxmlformats.org/officeDocument/2006/customXml" ds:itemID="{F0D66251-9506-4EEE-A6C5-55153A8ADE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4</cp:revision>
  <cp:lastPrinted>2020-04-01T16:17:00Z</cp:lastPrinted>
  <dcterms:created xsi:type="dcterms:W3CDTF">2023-08-23T06:20:00Z</dcterms:created>
  <dcterms:modified xsi:type="dcterms:W3CDTF">2023-08-23T06:22:00Z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0x0101005F64834C58AB354D911FF9504EC49237</vt:lpwstr>
  </property>
</Properties>
</file>