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9CA1" w14:textId="1CFDF508" w:rsidR="00171F13" w:rsidRPr="005244AE" w:rsidRDefault="2F24C424" w:rsidP="2F24C424">
      <w:pPr>
        <w:spacing w:after="120"/>
        <w:rPr>
          <w:rFonts w:eastAsia="Arial" w:cs="Arial"/>
        </w:rPr>
      </w:pPr>
      <w:r w:rsidRPr="2F24C424">
        <w:rPr>
          <w:rFonts w:eastAsia="Arial" w:cs="Arial"/>
        </w:rPr>
        <w:t>April 2022</w:t>
      </w:r>
    </w:p>
    <w:p w14:paraId="6228A068" w14:textId="77777777" w:rsidR="00171F13" w:rsidRPr="005244AE" w:rsidRDefault="00171F13" w:rsidP="2F24C424">
      <w:pPr>
        <w:spacing w:after="120"/>
        <w:rPr>
          <w:rFonts w:eastAsia="Arial" w:cs="Arial"/>
        </w:rPr>
      </w:pPr>
    </w:p>
    <w:p w14:paraId="4B9EA067" w14:textId="77777777" w:rsidR="00171F13" w:rsidRPr="005244AE" w:rsidRDefault="00171F13" w:rsidP="2F24C424">
      <w:pPr>
        <w:spacing w:after="120"/>
        <w:rPr>
          <w:rFonts w:eastAsia="Arial" w:cs="Arial"/>
        </w:rPr>
      </w:pPr>
    </w:p>
    <w:p w14:paraId="1F7C7B78" w14:textId="63B24726" w:rsidR="00171F13" w:rsidRPr="005244AE" w:rsidRDefault="2F24C424" w:rsidP="2F24C424">
      <w:pPr>
        <w:spacing w:after="120"/>
        <w:rPr>
          <w:rFonts w:eastAsia="Arial" w:cs="Arial"/>
        </w:rPr>
      </w:pPr>
      <w:r w:rsidRPr="2F24C424">
        <w:rPr>
          <w:rFonts w:eastAsia="Arial" w:cs="Arial"/>
        </w:rPr>
        <w:t xml:space="preserve">To Te </w:t>
      </w:r>
      <w:proofErr w:type="spellStart"/>
      <w:r w:rsidRPr="2F24C424">
        <w:rPr>
          <w:rFonts w:eastAsia="Arial" w:cs="Arial"/>
        </w:rPr>
        <w:t>Tūāpapa</w:t>
      </w:r>
      <w:proofErr w:type="spellEnd"/>
      <w:r w:rsidRPr="2F24C424">
        <w:rPr>
          <w:rFonts w:eastAsia="Arial" w:cs="Arial"/>
        </w:rPr>
        <w:t xml:space="preserve"> Kura </w:t>
      </w:r>
      <w:proofErr w:type="spellStart"/>
      <w:r w:rsidRPr="2F24C424">
        <w:rPr>
          <w:rFonts w:eastAsia="Arial" w:cs="Arial"/>
        </w:rPr>
        <w:t>Kāinga</w:t>
      </w:r>
      <w:proofErr w:type="spellEnd"/>
    </w:p>
    <w:p w14:paraId="05995B3A" w14:textId="3820DF1B" w:rsidR="00171F13" w:rsidRDefault="2F24C424" w:rsidP="2F24C424">
      <w:pPr>
        <w:spacing w:after="120"/>
        <w:rPr>
          <w:rFonts w:eastAsia="Arial" w:cs="Arial"/>
        </w:rPr>
      </w:pPr>
      <w:r w:rsidRPr="2F24C424">
        <w:rPr>
          <w:rFonts w:eastAsia="Arial" w:cs="Arial"/>
        </w:rPr>
        <w:t xml:space="preserve">Please find below DPA’s submission on the Regulation of Residential Property Managers. </w:t>
      </w:r>
    </w:p>
    <w:p w14:paraId="674D6F20" w14:textId="77777777" w:rsidR="00171F13" w:rsidRDefault="00171F13" w:rsidP="2F24C424">
      <w:pPr>
        <w:spacing w:after="120"/>
        <w:rPr>
          <w:rFonts w:eastAsia="Arial" w:cs="Arial"/>
        </w:rPr>
      </w:pPr>
    </w:p>
    <w:p w14:paraId="20ACFB2A" w14:textId="77777777" w:rsidR="00171F13" w:rsidRDefault="00171F13" w:rsidP="2F24C424">
      <w:pPr>
        <w:pStyle w:val="NormalWeb"/>
        <w:shd w:val="clear" w:color="auto" w:fill="FFFFFF" w:themeFill="background1"/>
        <w:spacing w:before="0" w:beforeAutospacing="0" w:after="120" w:afterAutospacing="0" w:line="360" w:lineRule="auto"/>
        <w:ind w:left="142" w:right="306"/>
        <w:rPr>
          <w:rFonts w:ascii="Arial" w:eastAsia="Arial" w:hAnsi="Arial" w:cs="Arial"/>
        </w:rPr>
      </w:pPr>
    </w:p>
    <w:p w14:paraId="272C3A40" w14:textId="77777777" w:rsidR="00171F13" w:rsidRPr="00073F0E" w:rsidRDefault="00171F13" w:rsidP="2F24C424">
      <w:pPr>
        <w:pStyle w:val="NormalWeb"/>
        <w:shd w:val="clear" w:color="auto" w:fill="FFFFFF" w:themeFill="background1"/>
        <w:spacing w:before="0" w:beforeAutospacing="0" w:after="120" w:afterAutospacing="0" w:line="360" w:lineRule="auto"/>
        <w:ind w:left="142" w:right="306"/>
        <w:rPr>
          <w:rFonts w:ascii="Arial" w:eastAsia="Arial" w:hAnsi="Arial" w:cs="Arial"/>
        </w:rPr>
      </w:pPr>
    </w:p>
    <w:p w14:paraId="66C3615F" w14:textId="77777777" w:rsidR="00171F13" w:rsidRPr="00E9298B" w:rsidRDefault="2F24C424" w:rsidP="2F24C424">
      <w:pPr>
        <w:pStyle w:val="Heading2"/>
        <w:spacing w:before="0" w:line="360" w:lineRule="auto"/>
        <w:jc w:val="center"/>
        <w:rPr>
          <w:rFonts w:ascii="Arial" w:eastAsia="Arial" w:hAnsi="Arial"/>
          <w:color w:val="auto"/>
        </w:rPr>
      </w:pPr>
      <w:r w:rsidRPr="2F24C424">
        <w:rPr>
          <w:rFonts w:ascii="Arial" w:eastAsia="Arial" w:hAnsi="Arial"/>
          <w:color w:val="auto"/>
        </w:rPr>
        <w:t>Disabled Persons Assembly NZ</w:t>
      </w:r>
    </w:p>
    <w:p w14:paraId="707B5539" w14:textId="77777777" w:rsidR="00171F13" w:rsidRDefault="00171F13" w:rsidP="2F24C424">
      <w:pPr>
        <w:pStyle w:val="NormalWeb"/>
        <w:shd w:val="clear" w:color="auto" w:fill="FFFFFF" w:themeFill="background1"/>
        <w:spacing w:before="0" w:beforeAutospacing="0" w:after="120" w:afterAutospacing="0" w:line="360" w:lineRule="auto"/>
        <w:ind w:left="142" w:right="304"/>
        <w:rPr>
          <w:rFonts w:ascii="Arial" w:eastAsia="Arial" w:hAnsi="Arial" w:cs="Arial"/>
        </w:rPr>
      </w:pPr>
    </w:p>
    <w:p w14:paraId="46815222" w14:textId="77777777" w:rsidR="00171F13" w:rsidRDefault="00171F13" w:rsidP="2F24C424">
      <w:pPr>
        <w:pStyle w:val="NormalWeb"/>
        <w:shd w:val="clear" w:color="auto" w:fill="FFFFFF" w:themeFill="background1"/>
        <w:spacing w:before="0" w:beforeAutospacing="0" w:after="120" w:afterAutospacing="0" w:line="360" w:lineRule="auto"/>
        <w:ind w:left="142" w:right="304"/>
        <w:rPr>
          <w:rFonts w:ascii="Arial" w:eastAsia="Arial" w:hAnsi="Arial" w:cs="Arial"/>
        </w:rPr>
      </w:pPr>
    </w:p>
    <w:p w14:paraId="6A38C7E1" w14:textId="77777777" w:rsidR="00171F13" w:rsidRPr="00073F0E" w:rsidRDefault="00171F13" w:rsidP="2F24C424">
      <w:pPr>
        <w:pStyle w:val="NormalWeb"/>
        <w:shd w:val="clear" w:color="auto" w:fill="FFFFFF" w:themeFill="background1"/>
        <w:spacing w:before="0" w:beforeAutospacing="0" w:after="120" w:afterAutospacing="0" w:line="360" w:lineRule="auto"/>
        <w:ind w:left="142" w:right="304"/>
        <w:rPr>
          <w:rFonts w:ascii="Arial" w:eastAsia="Arial" w:hAnsi="Arial" w:cs="Arial"/>
        </w:rPr>
      </w:pPr>
    </w:p>
    <w:p w14:paraId="1F58E14D" w14:textId="77777777" w:rsidR="00171F13" w:rsidRPr="008E541D" w:rsidRDefault="2F24C424" w:rsidP="2F24C424">
      <w:pPr>
        <w:spacing w:after="120"/>
        <w:rPr>
          <w:rStyle w:val="Emphasis"/>
          <w:rFonts w:eastAsia="Arial"/>
          <w:color w:val="auto"/>
        </w:rPr>
      </w:pPr>
      <w:r w:rsidRPr="2F24C424">
        <w:rPr>
          <w:rStyle w:val="Emphasis"/>
          <w:rFonts w:eastAsia="Arial"/>
          <w:color w:val="auto"/>
        </w:rPr>
        <w:t>Contact:</w:t>
      </w:r>
    </w:p>
    <w:p w14:paraId="2FC8034B" w14:textId="77777777" w:rsidR="00171F13" w:rsidRPr="00E9298B" w:rsidRDefault="2F24C424" w:rsidP="2F24C424">
      <w:pPr>
        <w:pStyle w:val="Heading2"/>
        <w:spacing w:before="0" w:line="360" w:lineRule="auto"/>
        <w:rPr>
          <w:rStyle w:val="Emphasis"/>
          <w:rFonts w:eastAsia="Arial"/>
          <w:color w:val="auto"/>
          <w:sz w:val="28"/>
          <w:szCs w:val="28"/>
        </w:rPr>
      </w:pPr>
      <w:r w:rsidRPr="2F24C424">
        <w:rPr>
          <w:rStyle w:val="Emphasis"/>
          <w:rFonts w:eastAsia="Arial"/>
          <w:color w:val="auto"/>
          <w:sz w:val="28"/>
          <w:szCs w:val="28"/>
        </w:rPr>
        <w:t>Prudence Walker</w:t>
      </w:r>
    </w:p>
    <w:p w14:paraId="27331031" w14:textId="77777777" w:rsidR="00171F13" w:rsidRPr="00E9298B" w:rsidRDefault="2F24C424" w:rsidP="2F24C424">
      <w:pPr>
        <w:pStyle w:val="Heading2"/>
        <w:spacing w:before="0" w:line="360" w:lineRule="auto"/>
        <w:rPr>
          <w:rStyle w:val="Emphasis"/>
          <w:rFonts w:eastAsia="Arial"/>
          <w:color w:val="auto"/>
          <w:sz w:val="28"/>
          <w:szCs w:val="28"/>
        </w:rPr>
      </w:pPr>
      <w:r w:rsidRPr="2F24C424">
        <w:rPr>
          <w:rStyle w:val="Emphasis"/>
          <w:rFonts w:eastAsia="Arial"/>
          <w:color w:val="auto"/>
          <w:sz w:val="28"/>
          <w:szCs w:val="28"/>
        </w:rPr>
        <w:t xml:space="preserve">Chief Executive </w:t>
      </w:r>
    </w:p>
    <w:p w14:paraId="6D00E743" w14:textId="77777777" w:rsidR="00171F13" w:rsidRPr="00E9298B" w:rsidRDefault="2F24C424" w:rsidP="2F24C424">
      <w:pPr>
        <w:pStyle w:val="Heading2"/>
        <w:spacing w:before="0" w:line="360" w:lineRule="auto"/>
        <w:rPr>
          <w:rStyle w:val="Emphasis"/>
          <w:rFonts w:eastAsia="Arial"/>
          <w:color w:val="auto"/>
          <w:sz w:val="28"/>
          <w:szCs w:val="28"/>
        </w:rPr>
      </w:pPr>
      <w:r w:rsidRPr="2F24C424">
        <w:rPr>
          <w:rStyle w:val="Emphasis"/>
          <w:rFonts w:eastAsia="Arial"/>
          <w:color w:val="auto"/>
          <w:sz w:val="28"/>
          <w:szCs w:val="28"/>
        </w:rPr>
        <w:t>021 546 006</w:t>
      </w:r>
    </w:p>
    <w:p w14:paraId="56B4EFC6" w14:textId="77777777" w:rsidR="00171F13" w:rsidRPr="000533B3" w:rsidRDefault="002223B9" w:rsidP="2F24C424">
      <w:pPr>
        <w:pStyle w:val="Heading2"/>
        <w:spacing w:before="0" w:line="360" w:lineRule="auto"/>
        <w:rPr>
          <w:rFonts w:ascii="Arial" w:eastAsia="Arial" w:hAnsi="Arial"/>
          <w:color w:val="auto"/>
        </w:rPr>
      </w:pPr>
      <w:hyperlink r:id="rId7">
        <w:r w:rsidR="2F24C424" w:rsidRPr="2F24C424">
          <w:rPr>
            <w:rStyle w:val="Emphasis"/>
            <w:rFonts w:eastAsia="Arial"/>
            <w:color w:val="auto"/>
            <w:sz w:val="28"/>
            <w:szCs w:val="28"/>
          </w:rPr>
          <w:t>policy@dpa.org.nz</w:t>
        </w:r>
      </w:hyperlink>
      <w:r w:rsidR="2F24C424" w:rsidRPr="2F24C424">
        <w:rPr>
          <w:rStyle w:val="Hyperlink"/>
          <w:rFonts w:ascii="Arial" w:eastAsia="Arial" w:hAnsi="Arial"/>
          <w:color w:val="auto"/>
          <w:sz w:val="28"/>
          <w:szCs w:val="28"/>
        </w:rPr>
        <w:t xml:space="preserve"> </w:t>
      </w:r>
      <w:r w:rsidR="2F24C424" w:rsidRPr="2F24C424">
        <w:rPr>
          <w:rFonts w:ascii="Arial" w:eastAsia="Arial" w:hAnsi="Arial"/>
          <w:color w:val="auto"/>
        </w:rPr>
        <w:t xml:space="preserve"> </w:t>
      </w:r>
      <w:r w:rsidR="003D2989" w:rsidRPr="2F24C424">
        <w:rPr>
          <w:rFonts w:ascii="Arial" w:eastAsia="Arial" w:hAnsi="Arial"/>
          <w:color w:val="auto"/>
        </w:rPr>
        <w:br w:type="page"/>
      </w:r>
    </w:p>
    <w:p w14:paraId="765F5146" w14:textId="77777777" w:rsidR="00171F13" w:rsidRPr="004D53A5" w:rsidRDefault="2F24C424" w:rsidP="2F24C424">
      <w:pPr>
        <w:pStyle w:val="Heading1"/>
        <w:spacing w:before="0" w:after="120" w:line="360" w:lineRule="auto"/>
        <w:ind w:firstLine="567"/>
        <w:rPr>
          <w:rFonts w:ascii="Arial" w:eastAsia="Arial" w:hAnsi="Arial"/>
          <w:bCs/>
          <w:color w:val="auto"/>
          <w:sz w:val="28"/>
          <w:szCs w:val="28"/>
        </w:rPr>
      </w:pPr>
      <w:r w:rsidRPr="2F24C424">
        <w:rPr>
          <w:rFonts w:ascii="Arial" w:eastAsia="Arial" w:hAnsi="Arial"/>
          <w:bCs/>
          <w:color w:val="auto"/>
          <w:sz w:val="28"/>
          <w:szCs w:val="28"/>
        </w:rPr>
        <w:lastRenderedPageBreak/>
        <w:t>Introducing Disabled Persons Assembly NZ</w:t>
      </w:r>
    </w:p>
    <w:p w14:paraId="41BDDC2C" w14:textId="77777777" w:rsidR="00171F13" w:rsidRPr="00F90077" w:rsidRDefault="2F24C424" w:rsidP="2F24C424">
      <w:pPr>
        <w:spacing w:after="120"/>
        <w:rPr>
          <w:rFonts w:eastAsia="Arial" w:cs="Arial"/>
        </w:rPr>
      </w:pPr>
      <w:r w:rsidRPr="2F24C424">
        <w:rPr>
          <w:rFonts w:eastAsia="Arial"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sidRPr="2F24C424">
        <w:rPr>
          <w:rFonts w:eastAsia="Arial" w:cs="Arial"/>
        </w:rPr>
        <w:t>are able to</w:t>
      </w:r>
      <w:proofErr w:type="gramEnd"/>
      <w:r w:rsidRPr="2F24C424">
        <w:rPr>
          <w:rFonts w:eastAsia="Arial" w:cs="Arial"/>
        </w:rPr>
        <w:t xml:space="preserve"> direct their own lives. DPA works to improve social indicators for disabled people and for disabled people to be recognised as valued members of society.  DPA and its members work with the wider disability community, other DPOs, government agencies, service providers, international disability organisations, and the public by:</w:t>
      </w:r>
    </w:p>
    <w:p w14:paraId="2BB453A2" w14:textId="77777777" w:rsidR="00171F13" w:rsidRPr="00F90077" w:rsidRDefault="2F24C424" w:rsidP="2F24C424">
      <w:pPr>
        <w:pStyle w:val="ListParagraph"/>
        <w:numPr>
          <w:ilvl w:val="0"/>
          <w:numId w:val="3"/>
        </w:numPr>
        <w:spacing w:after="120"/>
        <w:rPr>
          <w:rFonts w:eastAsia="Arial" w:cs="Arial"/>
          <w:color w:val="000000" w:themeColor="text1"/>
        </w:rPr>
      </w:pPr>
      <w:r w:rsidRPr="2F24C424">
        <w:rPr>
          <w:rFonts w:eastAsia="Arial" w:cs="Arial"/>
        </w:rPr>
        <w:t>telling our stories and identifying systemic barriers</w:t>
      </w:r>
    </w:p>
    <w:p w14:paraId="3FF94AEA" w14:textId="77777777" w:rsidR="00171F13" w:rsidRPr="00F90077" w:rsidRDefault="2F24C424" w:rsidP="2F24C424">
      <w:pPr>
        <w:pStyle w:val="ListParagraph"/>
        <w:numPr>
          <w:ilvl w:val="0"/>
          <w:numId w:val="3"/>
        </w:numPr>
        <w:spacing w:after="120"/>
        <w:rPr>
          <w:rFonts w:eastAsia="Arial" w:cs="Arial"/>
          <w:color w:val="000000" w:themeColor="text1"/>
        </w:rPr>
      </w:pPr>
      <w:r w:rsidRPr="2F24C424">
        <w:rPr>
          <w:rFonts w:eastAsia="Arial" w:cs="Arial"/>
        </w:rPr>
        <w:t>developing and advocating for solutions</w:t>
      </w:r>
    </w:p>
    <w:p w14:paraId="59BBBD69" w14:textId="77777777" w:rsidR="00171F13" w:rsidRPr="00F90077" w:rsidRDefault="2F24C424" w:rsidP="2F24C424">
      <w:pPr>
        <w:pStyle w:val="ListParagraph"/>
        <w:numPr>
          <w:ilvl w:val="0"/>
          <w:numId w:val="3"/>
        </w:numPr>
        <w:spacing w:after="120"/>
        <w:rPr>
          <w:rFonts w:eastAsia="Arial" w:cs="Arial"/>
          <w:color w:val="000000" w:themeColor="text1"/>
        </w:rPr>
      </w:pPr>
      <w:r w:rsidRPr="2F24C424">
        <w:rPr>
          <w:rFonts w:eastAsia="Arial" w:cs="Arial"/>
        </w:rPr>
        <w:t>celebrating innovation and good practice</w:t>
      </w:r>
    </w:p>
    <w:p w14:paraId="55263952" w14:textId="40AF0BBB" w:rsidR="006F1085" w:rsidRDefault="2F24C424" w:rsidP="2F24C424">
      <w:pPr>
        <w:pStyle w:val="Heading1"/>
        <w:spacing w:before="0" w:after="120" w:line="360" w:lineRule="auto"/>
        <w:ind w:firstLine="567"/>
        <w:rPr>
          <w:rFonts w:ascii="Arial" w:eastAsia="Arial" w:hAnsi="Arial"/>
          <w:bCs/>
          <w:color w:val="auto"/>
          <w:sz w:val="28"/>
          <w:szCs w:val="28"/>
        </w:rPr>
      </w:pPr>
      <w:r w:rsidRPr="2F24C424">
        <w:rPr>
          <w:rFonts w:ascii="Arial" w:eastAsia="Arial" w:hAnsi="Arial"/>
          <w:bCs/>
          <w:color w:val="auto"/>
          <w:sz w:val="28"/>
          <w:szCs w:val="28"/>
        </w:rPr>
        <w:t xml:space="preserve">The Submission </w:t>
      </w:r>
    </w:p>
    <w:p w14:paraId="71F79942" w14:textId="267E0442" w:rsidR="2F24C424" w:rsidRDefault="2F24C424" w:rsidP="2F24C424">
      <w:pPr>
        <w:spacing w:after="120"/>
        <w:rPr>
          <w:rFonts w:eastAsia="DengXian"/>
          <w:szCs w:val="24"/>
          <w:lang w:eastAsia="en-NZ"/>
        </w:rPr>
      </w:pPr>
      <w:r w:rsidRPr="2F24C424">
        <w:rPr>
          <w:rFonts w:eastAsia="Arial" w:cs="Arial"/>
          <w:lang w:eastAsia="en-NZ"/>
        </w:rPr>
        <w:t>Regulation of property managers is an extremely important issue for disabled people, as we explain in this submission. DPA is largely supportive of the measures proposed in this consultation to protect tenants but have some specific suggestions for changes to help improve protections for disabled tenants.</w:t>
      </w:r>
    </w:p>
    <w:p w14:paraId="48600FD1" w14:textId="68E3A31C" w:rsidR="00311847" w:rsidRDefault="2F24C424" w:rsidP="2F24C424">
      <w:pPr>
        <w:pStyle w:val="Heading1"/>
        <w:spacing w:before="0" w:after="120" w:line="360" w:lineRule="auto"/>
        <w:ind w:firstLine="567"/>
        <w:rPr>
          <w:rFonts w:ascii="Arial" w:eastAsia="Arial" w:hAnsi="Arial"/>
          <w:bCs/>
          <w:color w:val="auto"/>
          <w:sz w:val="28"/>
          <w:szCs w:val="28"/>
        </w:rPr>
      </w:pPr>
      <w:r w:rsidRPr="2F24C424">
        <w:rPr>
          <w:rFonts w:ascii="Arial" w:eastAsia="Arial" w:hAnsi="Arial"/>
          <w:bCs/>
          <w:color w:val="auto"/>
          <w:sz w:val="28"/>
          <w:szCs w:val="28"/>
        </w:rPr>
        <w:t xml:space="preserve">Government Obligations on the Right to Housing for Disabled People </w:t>
      </w:r>
    </w:p>
    <w:p w14:paraId="6483E0B9" w14:textId="0AD4153F" w:rsidR="00FD75FC" w:rsidRDefault="2F24C424" w:rsidP="2F24C424">
      <w:pPr>
        <w:spacing w:after="120"/>
        <w:rPr>
          <w:rFonts w:eastAsia="DengXian"/>
          <w:szCs w:val="24"/>
          <w:lang w:val="en"/>
        </w:rPr>
      </w:pPr>
      <w:r w:rsidRPr="2F24C424">
        <w:rPr>
          <w:rFonts w:eastAsia="Arial" w:cs="Arial"/>
          <w:szCs w:val="24"/>
        </w:rPr>
        <w:t xml:space="preserve">The right to housing is widely recognised as a basic human right, with the right to adequate housing recognised in the 1948 Universal Declaration of Human Rights, and in other international human rights treaties ratified by New Zealand including the United Nations Convention on the Rights of Persons with Disabilities (UNCRPD), which DPA </w:t>
      </w:r>
      <w:r w:rsidRPr="2F24C424">
        <w:rPr>
          <w:rFonts w:eastAsia="Arial" w:cs="Arial"/>
          <w:szCs w:val="24"/>
          <w:lang w:val="en"/>
        </w:rPr>
        <w:t xml:space="preserve">upholds as the minimum standard for our participation in society. </w:t>
      </w:r>
    </w:p>
    <w:p w14:paraId="7239D8FA" w14:textId="72A2048B" w:rsidR="00FD75FC" w:rsidRDefault="2F24C424" w:rsidP="2F24C424">
      <w:pPr>
        <w:spacing w:after="120"/>
        <w:rPr>
          <w:rFonts w:eastAsia="DengXian"/>
          <w:szCs w:val="24"/>
          <w:u w:val="single"/>
          <w:lang w:val="en"/>
        </w:rPr>
      </w:pPr>
      <w:r w:rsidRPr="2F24C424">
        <w:rPr>
          <w:rFonts w:eastAsia="Arial" w:cs="Arial"/>
          <w:szCs w:val="24"/>
        </w:rPr>
        <w:t>Below we list some of the other key articles of the UNCRPD relevant for this submission.</w:t>
      </w:r>
    </w:p>
    <w:p w14:paraId="32510854" w14:textId="074AA413" w:rsidR="00FD75FC" w:rsidRDefault="2F24C424" w:rsidP="2F24C424">
      <w:pPr>
        <w:spacing w:after="120"/>
        <w:rPr>
          <w:rFonts w:eastAsia="Arial" w:cs="Arial"/>
          <w:sz w:val="28"/>
          <w:szCs w:val="28"/>
          <w:u w:val="single"/>
          <w:lang w:val="en"/>
        </w:rPr>
      </w:pPr>
      <w:r w:rsidRPr="2F24C424">
        <w:rPr>
          <w:rFonts w:eastAsia="Arial" w:cs="Arial"/>
          <w:b/>
          <w:bCs/>
          <w:sz w:val="28"/>
          <w:szCs w:val="28"/>
          <w:lang w:val="en"/>
        </w:rPr>
        <w:t>Partnership with DPOs (Article 4.3)</w:t>
      </w:r>
    </w:p>
    <w:p w14:paraId="2AB0D3C2" w14:textId="47906068" w:rsidR="004E0C22" w:rsidRPr="00FD75FC" w:rsidRDefault="2F24C424" w:rsidP="2F24C424">
      <w:pPr>
        <w:spacing w:after="120"/>
        <w:rPr>
          <w:rFonts w:eastAsia="DengXian"/>
          <w:b/>
          <w:bCs/>
          <w:sz w:val="28"/>
          <w:szCs w:val="28"/>
        </w:rPr>
      </w:pPr>
      <w:r w:rsidRPr="2F24C424">
        <w:rPr>
          <w:rFonts w:eastAsia="Arial" w:cs="Arial"/>
          <w:lang w:val="en"/>
        </w:rPr>
        <w:t xml:space="preserve">The implementation of the UNCRPD depends on a partnership between DPOs and the Government. This is highlighted in Article 4.3 which says governments shall consult closely with and actively involve disabled people, including disabled children, through their representative </w:t>
      </w:r>
      <w:r w:rsidRPr="2F24C424">
        <w:rPr>
          <w:rFonts w:eastAsia="Arial" w:cs="Arial"/>
        </w:rPr>
        <w:t>organisations</w:t>
      </w:r>
      <w:r w:rsidRPr="2F24C424">
        <w:rPr>
          <w:rFonts w:eastAsia="Arial" w:cs="Arial"/>
          <w:lang w:val="en"/>
        </w:rPr>
        <w:t xml:space="preserve">. </w:t>
      </w:r>
    </w:p>
    <w:p w14:paraId="128D4286" w14:textId="2BE08411" w:rsidR="004E0C22" w:rsidRPr="00FD75FC" w:rsidRDefault="004E0C22" w:rsidP="2F24C424">
      <w:pPr>
        <w:spacing w:after="120"/>
        <w:rPr>
          <w:rFonts w:eastAsia="Arial" w:cs="Arial"/>
          <w:b/>
          <w:bCs/>
          <w:sz w:val="28"/>
          <w:szCs w:val="28"/>
        </w:rPr>
      </w:pPr>
    </w:p>
    <w:p w14:paraId="1F88952C" w14:textId="5ED7E656" w:rsidR="004E0C22" w:rsidRPr="00FD75FC" w:rsidRDefault="2F24C424" w:rsidP="2F24C424">
      <w:pPr>
        <w:spacing w:after="120"/>
        <w:rPr>
          <w:rFonts w:eastAsia="DengXian"/>
          <w:b/>
          <w:bCs/>
          <w:color w:val="000000" w:themeColor="text1"/>
          <w:sz w:val="28"/>
          <w:szCs w:val="28"/>
        </w:rPr>
      </w:pPr>
      <w:r w:rsidRPr="2F24C424">
        <w:rPr>
          <w:rFonts w:eastAsia="Arial" w:cs="Arial"/>
          <w:b/>
          <w:bCs/>
          <w:sz w:val="28"/>
          <w:szCs w:val="28"/>
        </w:rPr>
        <w:lastRenderedPageBreak/>
        <w:t>Right to Live in the Community (Article 19)</w:t>
      </w:r>
    </w:p>
    <w:p w14:paraId="38DF6482" w14:textId="46720723" w:rsidR="004E0C22" w:rsidRPr="00F86DF6" w:rsidRDefault="004E0C22" w:rsidP="2F24C424">
      <w:pPr>
        <w:spacing w:after="120"/>
        <w:rPr>
          <w:rFonts w:eastAsia="Arial" w:cs="Arial"/>
          <w:color w:val="000000" w:themeColor="text1"/>
          <w:lang w:val="en-US"/>
        </w:rPr>
      </w:pPr>
      <w:r w:rsidRPr="2F24C424">
        <w:rPr>
          <w:rFonts w:eastAsia="Arial" w:cs="Arial"/>
          <w:color w:val="000000" w:themeColor="text1"/>
          <w:lang w:val="en-US"/>
        </w:rPr>
        <w:t>Article 19 of the UNCRPD obligates signatories to “</w:t>
      </w:r>
      <w:proofErr w:type="spellStart"/>
      <w:r w:rsidRPr="2F24C424">
        <w:rPr>
          <w:rFonts w:eastAsia="Arial" w:cs="Arial"/>
          <w:color w:val="000000" w:themeColor="text1"/>
          <w:lang w:val="en-US"/>
        </w:rPr>
        <w:t>recognise</w:t>
      </w:r>
      <w:proofErr w:type="spellEnd"/>
      <w:r w:rsidRPr="2F24C424">
        <w:rPr>
          <w:rFonts w:eastAsia="Arial" w:cs="Arial"/>
          <w:color w:val="000000" w:themeColor="text1"/>
          <w:lang w:val="en-US"/>
        </w:rPr>
        <w:t xml:space="preserve"> the equal right of all persons with disabilities to live in the community with choices equal to others.” A key focus of Article 19 is an individual’s right to choose where they live as well as access to both disability support and mainstream services.</w:t>
      </w:r>
      <w:r w:rsidRPr="2F24C424">
        <w:rPr>
          <w:rStyle w:val="FootnoteReference"/>
          <w:rFonts w:eastAsia="Arial" w:cs="Arial"/>
          <w:color w:val="000000" w:themeColor="text1"/>
          <w:lang w:val="en-US"/>
        </w:rPr>
        <w:footnoteReference w:id="2"/>
      </w:r>
      <w:r w:rsidRPr="2F24C424">
        <w:rPr>
          <w:rFonts w:eastAsia="Arial" w:cs="Arial"/>
          <w:color w:val="000000" w:themeColor="text1"/>
          <w:lang w:val="en-US"/>
        </w:rPr>
        <w:t xml:space="preserve"> </w:t>
      </w:r>
    </w:p>
    <w:p w14:paraId="69896D0A" w14:textId="05C20FE6" w:rsidR="004E0C22" w:rsidRPr="00F86DF6" w:rsidRDefault="004E0C22" w:rsidP="2F24C424">
      <w:pPr>
        <w:spacing w:after="120"/>
        <w:rPr>
          <w:rFonts w:eastAsia="Arial" w:cs="Arial"/>
          <w:b/>
          <w:bCs/>
          <w:sz w:val="28"/>
          <w:szCs w:val="28"/>
          <w:lang w:val="en-US"/>
        </w:rPr>
      </w:pPr>
      <w:r w:rsidRPr="2F24C424">
        <w:rPr>
          <w:rFonts w:eastAsia="Arial" w:cs="Arial"/>
          <w:b/>
          <w:bCs/>
          <w:color w:val="000000" w:themeColor="text1"/>
          <w:sz w:val="28"/>
          <w:szCs w:val="28"/>
          <w:lang w:val="en-US"/>
        </w:rPr>
        <w:t>Right to Adequate Standard of Living (Article 28)</w:t>
      </w:r>
    </w:p>
    <w:p w14:paraId="6D1F95F5" w14:textId="2A38B8E3" w:rsidR="004E0C22" w:rsidRPr="00F86DF6" w:rsidRDefault="2F24C424" w:rsidP="2F24C424">
      <w:pPr>
        <w:spacing w:after="120"/>
        <w:rPr>
          <w:rFonts w:eastAsia="Arial" w:cs="Arial"/>
          <w:color w:val="000000" w:themeColor="text1"/>
          <w:lang w:val="en-US"/>
        </w:rPr>
      </w:pPr>
      <w:r w:rsidRPr="2F24C424">
        <w:rPr>
          <w:rFonts w:eastAsia="Arial" w:cs="Arial"/>
          <w:lang w:val="en-US"/>
        </w:rPr>
        <w:t>Article 28</w:t>
      </w:r>
      <w:r w:rsidR="004E0C22" w:rsidRPr="2F24C424">
        <w:rPr>
          <w:rFonts w:eastAsia="Arial" w:cs="Arial"/>
          <w:color w:val="000000" w:themeColor="text1"/>
          <w:lang w:val="en-US"/>
        </w:rPr>
        <w:t xml:space="preserve"> states the New Zealand Government’s obligation to </w:t>
      </w:r>
      <w:proofErr w:type="spellStart"/>
      <w:r w:rsidR="004E0C22" w:rsidRPr="2F24C424">
        <w:rPr>
          <w:rFonts w:eastAsia="Arial" w:cs="Arial"/>
          <w:color w:val="000000" w:themeColor="text1"/>
          <w:lang w:val="en-US"/>
        </w:rPr>
        <w:t>recognise</w:t>
      </w:r>
      <w:proofErr w:type="spellEnd"/>
      <w:r w:rsidR="004E0C22" w:rsidRPr="2F24C424">
        <w:rPr>
          <w:rFonts w:eastAsia="Arial" w:cs="Arial"/>
          <w:color w:val="000000" w:themeColor="text1"/>
          <w:lang w:val="en-US"/>
        </w:rPr>
        <w:t xml:space="preserve"> the right of disabled people to an adequate standard of living, including housing and the continuous improvement of living conditions. It requires the Government to take steps towards safeguarding and promoting </w:t>
      </w:r>
      <w:r w:rsidR="008E15D3" w:rsidRPr="2F24C424">
        <w:rPr>
          <w:rFonts w:eastAsia="Arial" w:cs="Arial"/>
          <w:color w:val="000000" w:themeColor="text1"/>
          <w:lang w:val="en-US"/>
        </w:rPr>
        <w:t xml:space="preserve">the </w:t>
      </w:r>
      <w:r w:rsidR="002C2FC3" w:rsidRPr="2F24C424">
        <w:rPr>
          <w:rFonts w:eastAsia="Arial" w:cs="Arial"/>
          <w:color w:val="000000" w:themeColor="text1"/>
        </w:rPr>
        <w:t>realisation</w:t>
      </w:r>
      <w:r w:rsidR="004E0C22" w:rsidRPr="2F24C424">
        <w:rPr>
          <w:rFonts w:eastAsia="Arial" w:cs="Arial"/>
          <w:color w:val="000000" w:themeColor="text1"/>
          <w:lang w:val="en-US"/>
        </w:rPr>
        <w:t xml:space="preserve"> of this right without discrimination </w:t>
      </w:r>
      <w:proofErr w:type="gramStart"/>
      <w:r w:rsidR="004E0C22" w:rsidRPr="2F24C424">
        <w:rPr>
          <w:rFonts w:eastAsia="Arial" w:cs="Arial"/>
          <w:color w:val="000000" w:themeColor="text1"/>
          <w:lang w:val="en-US"/>
        </w:rPr>
        <w:t>on the basis of</w:t>
      </w:r>
      <w:proofErr w:type="gramEnd"/>
      <w:r w:rsidR="004E0C22" w:rsidRPr="2F24C424">
        <w:rPr>
          <w:rFonts w:eastAsia="Arial" w:cs="Arial"/>
          <w:color w:val="000000" w:themeColor="text1"/>
          <w:lang w:val="en-US"/>
        </w:rPr>
        <w:t xml:space="preserve"> disability.</w:t>
      </w:r>
      <w:r w:rsidR="004E0C22" w:rsidRPr="2F24C424">
        <w:rPr>
          <w:rStyle w:val="FootnoteReference"/>
          <w:rFonts w:eastAsia="Arial" w:cs="Arial"/>
          <w:color w:val="000000" w:themeColor="text1"/>
          <w:lang w:val="en-US"/>
        </w:rPr>
        <w:footnoteReference w:id="3"/>
      </w:r>
    </w:p>
    <w:p w14:paraId="6FC8C3D3" w14:textId="77777777" w:rsidR="004E0C22" w:rsidRPr="0047208A" w:rsidRDefault="2F24C424" w:rsidP="2F24C424">
      <w:pPr>
        <w:pStyle w:val="Heading3"/>
        <w:spacing w:before="0" w:after="120" w:line="360" w:lineRule="auto"/>
        <w:rPr>
          <w:rFonts w:ascii="Arial" w:eastAsia="Arial" w:hAnsi="Arial" w:cs="Arial"/>
          <w:b/>
          <w:bCs/>
          <w:color w:val="4472C4" w:themeColor="accent1"/>
          <w:sz w:val="28"/>
          <w:szCs w:val="28"/>
          <w:lang w:val="en-US"/>
        </w:rPr>
      </w:pPr>
      <w:r w:rsidRPr="2F24C424">
        <w:rPr>
          <w:rFonts w:ascii="Arial" w:eastAsia="Arial" w:hAnsi="Arial" w:cs="Arial"/>
          <w:b/>
          <w:bCs/>
          <w:color w:val="auto"/>
          <w:sz w:val="28"/>
          <w:szCs w:val="28"/>
          <w:lang w:val="en-US"/>
        </w:rPr>
        <w:t xml:space="preserve">UN Sustainable Development Goals </w:t>
      </w:r>
    </w:p>
    <w:p w14:paraId="040D5E2E" w14:textId="56F39908" w:rsidR="004E0C22" w:rsidRPr="00F86DF6" w:rsidRDefault="004E0C22" w:rsidP="2F24C424">
      <w:pPr>
        <w:spacing w:after="120"/>
        <w:rPr>
          <w:rFonts w:eastAsia="Arial" w:cs="Arial"/>
          <w:color w:val="000000" w:themeColor="text1"/>
          <w:lang w:val="en-AU"/>
        </w:rPr>
      </w:pPr>
      <w:r w:rsidRPr="2F24C424">
        <w:rPr>
          <w:rFonts w:eastAsia="Arial" w:cs="Arial"/>
          <w:color w:val="000000" w:themeColor="text1"/>
          <w:lang w:val="en-US"/>
        </w:rPr>
        <w:t xml:space="preserve">Of the 17 Sustainable Development Goals, Goal 11 relates most to housing.  It aims to make cities inclusive, safe, </w:t>
      </w:r>
      <w:r w:rsidR="00F54871" w:rsidRPr="2F24C424">
        <w:rPr>
          <w:rFonts w:eastAsia="Arial" w:cs="Arial"/>
          <w:color w:val="000000" w:themeColor="text1"/>
          <w:shd w:val="clear" w:color="auto" w:fill="FFFFFF"/>
        </w:rPr>
        <w:t>resilient,</w:t>
      </w:r>
      <w:r w:rsidRPr="2F24C424">
        <w:rPr>
          <w:rFonts w:eastAsia="Arial" w:cs="Arial"/>
          <w:color w:val="000000" w:themeColor="text1"/>
          <w:shd w:val="clear" w:color="auto" w:fill="FFFFFF"/>
        </w:rPr>
        <w:t xml:space="preserve"> and sustainable.  One of the key targets is to ensure access for all to adequate, </w:t>
      </w:r>
      <w:r w:rsidR="00155CC0" w:rsidRPr="2F24C424">
        <w:rPr>
          <w:rFonts w:eastAsia="Arial" w:cs="Arial"/>
          <w:color w:val="000000" w:themeColor="text1"/>
          <w:shd w:val="clear" w:color="auto" w:fill="FFFFFF"/>
        </w:rPr>
        <w:t>safe,</w:t>
      </w:r>
      <w:r w:rsidRPr="2F24C424">
        <w:rPr>
          <w:rFonts w:eastAsia="Arial" w:cs="Arial"/>
          <w:color w:val="000000" w:themeColor="text1"/>
          <w:shd w:val="clear" w:color="auto" w:fill="FFFFFF"/>
        </w:rPr>
        <w:t xml:space="preserve"> and affordable housing and basic services</w:t>
      </w:r>
    </w:p>
    <w:p w14:paraId="0AE5EF3F" w14:textId="7DA2E262" w:rsidR="004E0C22" w:rsidRPr="0047208A" w:rsidRDefault="2F24C424" w:rsidP="2F24C424">
      <w:pPr>
        <w:pStyle w:val="Heading2"/>
        <w:spacing w:before="0" w:line="360" w:lineRule="auto"/>
        <w:ind w:left="0"/>
        <w:rPr>
          <w:rFonts w:ascii="Arial" w:eastAsia="Arial" w:hAnsi="Arial"/>
          <w:color w:val="000000" w:themeColor="text1"/>
          <w:sz w:val="28"/>
          <w:szCs w:val="28"/>
          <w:lang w:val="en-AU"/>
        </w:rPr>
      </w:pPr>
      <w:r w:rsidRPr="2F24C424">
        <w:rPr>
          <w:rFonts w:ascii="Arial" w:eastAsia="Arial" w:hAnsi="Arial"/>
          <w:b/>
          <w:bCs/>
          <w:color w:val="auto"/>
          <w:sz w:val="28"/>
          <w:szCs w:val="28"/>
          <w:lang w:val="en-AU"/>
        </w:rPr>
        <w:t xml:space="preserve">Domestic Obligations </w:t>
      </w:r>
      <w:r w:rsidRPr="2F24C424">
        <w:rPr>
          <w:rFonts w:ascii="Arial" w:eastAsia="Arial" w:hAnsi="Arial"/>
          <w:color w:val="auto"/>
          <w:sz w:val="28"/>
          <w:szCs w:val="28"/>
          <w:lang w:val="en-AU"/>
        </w:rPr>
        <w:t xml:space="preserve">  </w:t>
      </w:r>
    </w:p>
    <w:p w14:paraId="32180AB2" w14:textId="77777777" w:rsidR="004E0C22" w:rsidRPr="0047208A" w:rsidRDefault="2F24C424" w:rsidP="2F24C424">
      <w:pPr>
        <w:pStyle w:val="Heading3"/>
        <w:spacing w:before="0" w:after="120" w:line="360" w:lineRule="auto"/>
        <w:rPr>
          <w:rFonts w:ascii="Arial" w:eastAsia="Arial" w:hAnsi="Arial" w:cs="Arial"/>
          <w:color w:val="4472C4" w:themeColor="accent1"/>
          <w:lang w:val="en-AU"/>
        </w:rPr>
      </w:pPr>
      <w:r w:rsidRPr="2F24C424">
        <w:rPr>
          <w:rFonts w:ascii="Arial" w:eastAsia="Arial" w:hAnsi="Arial" w:cs="Arial"/>
          <w:b/>
          <w:bCs/>
          <w:color w:val="auto"/>
          <w:lang w:val="en-AU"/>
        </w:rPr>
        <w:t>The New Zealand Disability Strategy (NZDS) (2016-2026)</w:t>
      </w:r>
      <w:r w:rsidRPr="2F24C424">
        <w:rPr>
          <w:rFonts w:ascii="Arial" w:eastAsia="Arial" w:hAnsi="Arial" w:cs="Arial"/>
          <w:color w:val="auto"/>
          <w:lang w:val="en-AU"/>
        </w:rPr>
        <w:t xml:space="preserve"> </w:t>
      </w:r>
    </w:p>
    <w:p w14:paraId="5F5F1B17" w14:textId="78795EA2" w:rsidR="004E0C22" w:rsidRPr="00676DAB" w:rsidRDefault="004E0C22" w:rsidP="2F24C424">
      <w:pPr>
        <w:spacing w:after="120"/>
        <w:rPr>
          <w:rFonts w:eastAsia="Arial" w:cs="Arial"/>
          <w:color w:val="000000" w:themeColor="text1"/>
          <w:shd w:val="clear" w:color="auto" w:fill="F7F7F9"/>
        </w:rPr>
      </w:pPr>
      <w:r w:rsidRPr="2F24C424">
        <w:rPr>
          <w:rFonts w:eastAsia="Arial" w:cs="Arial"/>
          <w:color w:val="000000" w:themeColor="text1"/>
          <w:lang w:val="en-AU"/>
        </w:rPr>
        <w:t xml:space="preserve">Outcome 3 of the NZDS promotes the importance </w:t>
      </w:r>
      <w:r w:rsidRPr="2F24C424">
        <w:rPr>
          <w:rFonts w:eastAsia="Arial" w:cs="Arial"/>
          <w:color w:val="000000" w:themeColor="text1"/>
          <w:shd w:val="clear" w:color="auto" w:fill="F7F7F9"/>
        </w:rPr>
        <w:t xml:space="preserve">of belonging to and participating in our community to reduce social </w:t>
      </w:r>
      <w:r w:rsidR="008E15D3" w:rsidRPr="2F24C424">
        <w:rPr>
          <w:rFonts w:eastAsia="Arial" w:cs="Arial"/>
          <w:color w:val="000000" w:themeColor="text1"/>
          <w:shd w:val="clear" w:color="auto" w:fill="F7F7F9"/>
        </w:rPr>
        <w:t>isolation and</w:t>
      </w:r>
      <w:r w:rsidRPr="2F24C424">
        <w:rPr>
          <w:rFonts w:eastAsia="Arial" w:cs="Arial"/>
          <w:color w:val="000000" w:themeColor="text1"/>
          <w:shd w:val="clear" w:color="auto" w:fill="F7F7F9"/>
        </w:rPr>
        <w:t xml:space="preserve"> increase our overall wellbeing. We can participate in community activities on an equal basis with others.</w:t>
      </w:r>
      <w:r w:rsidRPr="2F24C424">
        <w:rPr>
          <w:rStyle w:val="FootnoteReference"/>
          <w:rFonts w:eastAsia="Arial" w:cs="Arial"/>
          <w:color w:val="000000" w:themeColor="text1"/>
          <w:shd w:val="clear" w:color="auto" w:fill="F7F7F9"/>
        </w:rPr>
        <w:footnoteReference w:id="4"/>
      </w:r>
    </w:p>
    <w:p w14:paraId="5E9F25AF" w14:textId="0F1380A4" w:rsidR="004E0C22" w:rsidRPr="0047208A" w:rsidRDefault="2F24C424" w:rsidP="2F24C424">
      <w:pPr>
        <w:pStyle w:val="Heading3"/>
        <w:spacing w:before="0" w:after="120" w:line="360" w:lineRule="auto"/>
        <w:rPr>
          <w:rFonts w:ascii="Arial" w:eastAsia="Arial" w:hAnsi="Arial" w:cs="Arial"/>
          <w:b/>
          <w:bCs/>
          <w:color w:val="4472C4" w:themeColor="accent1"/>
          <w:lang w:val="en-AU"/>
        </w:rPr>
      </w:pPr>
      <w:r w:rsidRPr="2F24C424">
        <w:rPr>
          <w:rFonts w:ascii="Arial" w:eastAsia="Arial" w:hAnsi="Arial" w:cs="Arial"/>
          <w:b/>
          <w:bCs/>
          <w:color w:val="auto"/>
          <w:lang w:val="en-AU"/>
        </w:rPr>
        <w:lastRenderedPageBreak/>
        <w:t xml:space="preserve">New Zealand Disability Action Plan (2019-2023) </w:t>
      </w:r>
    </w:p>
    <w:p w14:paraId="1A758CBC" w14:textId="0F83F3FA" w:rsidR="004E0C22" w:rsidRPr="00F86DF6" w:rsidRDefault="004E0C22" w:rsidP="2F24C424">
      <w:pPr>
        <w:spacing w:after="120"/>
        <w:rPr>
          <w:rFonts w:eastAsia="Arial" w:cs="Arial"/>
          <w:color w:val="000000" w:themeColor="text1"/>
          <w:lang w:val="en-AU"/>
        </w:rPr>
      </w:pPr>
      <w:r w:rsidRPr="2F24C424">
        <w:rPr>
          <w:rFonts w:eastAsia="Arial" w:cs="Arial"/>
          <w:color w:val="000000" w:themeColor="text1"/>
          <w:lang w:val="en-AU"/>
        </w:rPr>
        <w:t xml:space="preserve">Under cross-cutting issues is </w:t>
      </w:r>
      <w:r w:rsidRPr="2F24C424">
        <w:rPr>
          <w:rFonts w:eastAsia="Arial" w:cs="Arial"/>
          <w:i/>
          <w:iCs/>
          <w:color w:val="000000" w:themeColor="text1"/>
          <w:lang w:val="en-AU"/>
        </w:rPr>
        <w:t>“</w:t>
      </w:r>
      <w:r w:rsidRPr="2F24C424">
        <w:rPr>
          <w:rFonts w:eastAsia="Arial" w:cs="Arial"/>
          <w:i/>
          <w:iCs/>
          <w:color w:val="000000" w:themeColor="text1"/>
          <w:shd w:val="clear" w:color="auto" w:fill="F7F7F9"/>
        </w:rPr>
        <w:t>Improve accessibility across the New Zealand housing system”.</w:t>
      </w:r>
      <w:r w:rsidRPr="2F24C424">
        <w:rPr>
          <w:rFonts w:eastAsia="Arial" w:cs="Arial"/>
          <w:color w:val="000000" w:themeColor="text1"/>
          <w:lang w:val="en-AU"/>
        </w:rPr>
        <w:t xml:space="preserve">  </w:t>
      </w:r>
      <w:r w:rsidRPr="2F24C424">
        <w:rPr>
          <w:rFonts w:eastAsia="Arial" w:cs="Arial"/>
          <w:color w:val="000000" w:themeColor="text1"/>
          <w:shd w:val="clear" w:color="auto" w:fill="F7F7F9"/>
        </w:rPr>
        <w:t>It lists Ministry of Housing and Urban Development and Housing New Zealand as responsible for implementing and reporting on this issue.</w:t>
      </w:r>
      <w:r w:rsidRPr="2F24C424">
        <w:rPr>
          <w:rStyle w:val="FootnoteReference"/>
          <w:rFonts w:eastAsia="Arial" w:cs="Arial"/>
          <w:color w:val="000000" w:themeColor="text1"/>
          <w:shd w:val="clear" w:color="auto" w:fill="F7F7F9"/>
        </w:rPr>
        <w:footnoteReference w:id="5"/>
      </w:r>
    </w:p>
    <w:p w14:paraId="79A2A414" w14:textId="77777777" w:rsidR="00850D58" w:rsidRPr="0047208A" w:rsidRDefault="2F24C424" w:rsidP="2F24C424">
      <w:pPr>
        <w:pStyle w:val="Heading2"/>
        <w:spacing w:before="0" w:line="360" w:lineRule="auto"/>
        <w:ind w:left="0"/>
        <w:rPr>
          <w:rFonts w:ascii="Arial" w:eastAsia="Arial" w:hAnsi="Arial"/>
          <w:b/>
          <w:bCs/>
          <w:color w:val="000000" w:themeColor="text1"/>
          <w:sz w:val="28"/>
          <w:szCs w:val="28"/>
          <w:lang w:val="en-US"/>
        </w:rPr>
      </w:pPr>
      <w:r w:rsidRPr="2F24C424">
        <w:rPr>
          <w:rFonts w:ascii="Arial" w:eastAsia="Arial" w:hAnsi="Arial"/>
          <w:b/>
          <w:bCs/>
          <w:color w:val="auto"/>
          <w:sz w:val="28"/>
          <w:szCs w:val="28"/>
          <w:lang w:val="en-US"/>
        </w:rPr>
        <w:t>Disability and Housing Conditions in Aotearoa</w:t>
      </w:r>
    </w:p>
    <w:p w14:paraId="3F55E1DB" w14:textId="158EEBB1" w:rsidR="00850D58" w:rsidRDefault="2F24C424" w:rsidP="2F24C424">
      <w:pPr>
        <w:spacing w:after="120"/>
        <w:rPr>
          <w:rFonts w:eastAsia="Arial" w:cs="Arial"/>
          <w:lang w:val="en-US"/>
        </w:rPr>
      </w:pPr>
      <w:r w:rsidRPr="2F24C424">
        <w:rPr>
          <w:rFonts w:eastAsia="Arial" w:cs="Arial"/>
          <w:lang w:val="en-US"/>
        </w:rPr>
        <w:t xml:space="preserve">Inadequate housing and poor housing conditions for disabled people in Aotearoa is the key reason why DPA is supportive of the proposal to regulate residential property Managers. </w:t>
      </w:r>
    </w:p>
    <w:p w14:paraId="44A07134" w14:textId="02D7B753" w:rsidR="00850D58" w:rsidRPr="0073036E" w:rsidRDefault="2F24C424" w:rsidP="2F24C424">
      <w:pPr>
        <w:spacing w:after="120"/>
        <w:rPr>
          <w:rFonts w:eastAsia="Arial" w:cs="Arial"/>
          <w:lang w:val="en-US"/>
        </w:rPr>
      </w:pPr>
      <w:r w:rsidRPr="2F24C424">
        <w:rPr>
          <w:rFonts w:eastAsia="Arial" w:cs="Arial"/>
          <w:lang w:val="en-US"/>
        </w:rPr>
        <w:t xml:space="preserve">The New Zealand Disability Survey 2013 provides some insights into housing and housing conditions for disabled people in Aotearoa.  </w:t>
      </w:r>
    </w:p>
    <w:p w14:paraId="3F7B152C" w14:textId="25DEBD30" w:rsidR="00850D58" w:rsidRPr="0073036E" w:rsidRDefault="2F24C424" w:rsidP="2F24C424">
      <w:pPr>
        <w:spacing w:after="120"/>
        <w:rPr>
          <w:rFonts w:eastAsia="Arial" w:cs="Arial"/>
          <w:lang w:val="en-US"/>
        </w:rPr>
      </w:pPr>
      <w:r w:rsidRPr="2F24C424">
        <w:rPr>
          <w:rFonts w:eastAsia="Arial" w:cs="Arial"/>
          <w:lang w:val="en-US"/>
        </w:rPr>
        <w:t xml:space="preserve">Key findings on housing from the Disability Survey include: </w:t>
      </w:r>
      <w:r w:rsidR="00850D58">
        <w:tab/>
      </w:r>
    </w:p>
    <w:p w14:paraId="6FE808EE" w14:textId="5480FC12" w:rsidR="00850D58" w:rsidRDefault="00850D58" w:rsidP="2F24C424">
      <w:pPr>
        <w:pStyle w:val="ListParagraph"/>
        <w:numPr>
          <w:ilvl w:val="0"/>
          <w:numId w:val="4"/>
        </w:numPr>
        <w:spacing w:after="120"/>
        <w:rPr>
          <w:rFonts w:eastAsia="Arial" w:cs="Arial"/>
          <w:color w:val="000000" w:themeColor="text1"/>
        </w:rPr>
      </w:pPr>
      <w:r w:rsidRPr="2F24C424">
        <w:rPr>
          <w:rFonts w:eastAsia="Arial" w:cs="Arial"/>
        </w:rPr>
        <w:t xml:space="preserve">Disabled people were more likely than non-disabled people to live in rental accommodation. 38% of disabled people rent their homes as opposed to 30% of non-disabled </w:t>
      </w:r>
      <w:r w:rsidR="008E15D3" w:rsidRPr="2F24C424">
        <w:rPr>
          <w:rFonts w:eastAsia="Arial" w:cs="Arial"/>
        </w:rPr>
        <w:t>people.</w:t>
      </w:r>
      <w:r w:rsidRPr="2F24C424">
        <w:rPr>
          <w:rStyle w:val="FootnoteReference"/>
          <w:rFonts w:eastAsia="Arial" w:cs="Arial"/>
        </w:rPr>
        <w:footnoteReference w:id="6"/>
      </w:r>
    </w:p>
    <w:p w14:paraId="33AB8B65" w14:textId="77777777" w:rsidR="00850D58" w:rsidRPr="0073036E" w:rsidRDefault="2F24C424" w:rsidP="2F24C424">
      <w:pPr>
        <w:pStyle w:val="ListParagraph"/>
        <w:numPr>
          <w:ilvl w:val="0"/>
          <w:numId w:val="4"/>
        </w:numPr>
        <w:spacing w:after="120"/>
        <w:rPr>
          <w:rFonts w:eastAsia="Arial" w:cs="Arial"/>
          <w:color w:val="000000" w:themeColor="text1"/>
        </w:rPr>
      </w:pPr>
      <w:r w:rsidRPr="2F24C424">
        <w:rPr>
          <w:rFonts w:eastAsia="Arial" w:cs="Arial"/>
        </w:rPr>
        <w:t>Disabled people were as likely to live in an owner-occupied home as non-disabled people but only because disabled people are on average older than non-disabled people and older people are more likely to live in owner-occupied homes. </w:t>
      </w:r>
    </w:p>
    <w:p w14:paraId="570F821F" w14:textId="77777777" w:rsidR="00850D58" w:rsidRPr="0073036E" w:rsidRDefault="2F24C424" w:rsidP="2F24C424">
      <w:pPr>
        <w:pStyle w:val="ListParagraph"/>
        <w:numPr>
          <w:ilvl w:val="0"/>
          <w:numId w:val="4"/>
        </w:numPr>
        <w:spacing w:after="120"/>
        <w:rPr>
          <w:rFonts w:eastAsia="Arial" w:cs="Arial"/>
          <w:color w:val="000000" w:themeColor="text1"/>
        </w:rPr>
      </w:pPr>
      <w:r w:rsidRPr="2F24C424">
        <w:rPr>
          <w:rFonts w:eastAsia="Arial" w:cs="Arial"/>
        </w:rPr>
        <w:t>Disabled people were more likely than non-disabled people to live alone or in a couple-only household, reflecting the older average age.</w:t>
      </w:r>
    </w:p>
    <w:p w14:paraId="59DC5908" w14:textId="77777777" w:rsidR="00850D58" w:rsidRPr="0073036E" w:rsidRDefault="2F24C424" w:rsidP="2F24C424">
      <w:pPr>
        <w:pStyle w:val="ListParagraph"/>
        <w:numPr>
          <w:ilvl w:val="0"/>
          <w:numId w:val="4"/>
        </w:numPr>
        <w:spacing w:after="120"/>
        <w:rPr>
          <w:rFonts w:eastAsia="Arial" w:cs="Arial"/>
          <w:color w:val="000000" w:themeColor="text1"/>
        </w:rPr>
      </w:pPr>
      <w:r w:rsidRPr="2F24C424">
        <w:rPr>
          <w:rFonts w:eastAsia="Arial" w:cs="Arial"/>
        </w:rPr>
        <w:t>25 percent of disabled people reported having difficulty keeping their home warm, compared with 18 percent of non-disabled people. </w:t>
      </w:r>
    </w:p>
    <w:p w14:paraId="370031C1" w14:textId="77777777" w:rsidR="00850D58" w:rsidRPr="0073036E" w:rsidRDefault="2F24C424" w:rsidP="2F24C424">
      <w:pPr>
        <w:pStyle w:val="ListParagraph"/>
        <w:numPr>
          <w:ilvl w:val="0"/>
          <w:numId w:val="4"/>
        </w:numPr>
        <w:spacing w:after="120"/>
        <w:rPr>
          <w:rFonts w:eastAsia="Arial" w:cs="Arial"/>
          <w:color w:val="000000" w:themeColor="text1"/>
        </w:rPr>
      </w:pPr>
      <w:r w:rsidRPr="2F24C424">
        <w:rPr>
          <w:rFonts w:eastAsia="Arial" w:cs="Arial"/>
        </w:rPr>
        <w:t>32 percent of disabled people with a physical impairment used building modifications (such as ramps and handrails) to improve accessibility to, or within, their home. </w:t>
      </w:r>
    </w:p>
    <w:p w14:paraId="1D8185FE" w14:textId="1D07B0B4" w:rsidR="00850D58" w:rsidRPr="0073036E" w:rsidRDefault="2F24C424" w:rsidP="2F24C424">
      <w:pPr>
        <w:pStyle w:val="ListParagraph"/>
        <w:numPr>
          <w:ilvl w:val="0"/>
          <w:numId w:val="4"/>
        </w:numPr>
        <w:spacing w:after="120"/>
        <w:rPr>
          <w:rFonts w:eastAsia="Arial" w:cs="Arial"/>
          <w:color w:val="000000" w:themeColor="text1"/>
        </w:rPr>
      </w:pPr>
      <w:r w:rsidRPr="2F24C424">
        <w:rPr>
          <w:rFonts w:eastAsia="Arial" w:cs="Arial"/>
        </w:rPr>
        <w:t xml:space="preserve">17 percent of people with a physical impairment had a need for modifications to their home to improve accessibility. </w:t>
      </w:r>
    </w:p>
    <w:p w14:paraId="30CD129C" w14:textId="74B63BB0" w:rsidR="2F24C424" w:rsidRDefault="2F24C424" w:rsidP="2F24C424">
      <w:pPr>
        <w:pStyle w:val="Heading1"/>
        <w:spacing w:before="0" w:after="120" w:line="360" w:lineRule="auto"/>
        <w:ind w:firstLine="567"/>
        <w:rPr>
          <w:rFonts w:ascii="Arial" w:eastAsia="Arial" w:hAnsi="Arial"/>
          <w:bCs/>
          <w:color w:val="auto"/>
          <w:sz w:val="28"/>
          <w:szCs w:val="28"/>
        </w:rPr>
      </w:pPr>
    </w:p>
    <w:p w14:paraId="2A29995E" w14:textId="73E85C85" w:rsidR="00850D58" w:rsidRDefault="2F24C424" w:rsidP="2F24C424">
      <w:pPr>
        <w:pStyle w:val="Heading1"/>
        <w:spacing w:before="0" w:after="120" w:line="360" w:lineRule="auto"/>
        <w:ind w:firstLine="567"/>
        <w:rPr>
          <w:rFonts w:ascii="Arial" w:eastAsia="Arial" w:hAnsi="Arial"/>
          <w:bCs/>
          <w:color w:val="auto"/>
          <w:sz w:val="28"/>
          <w:szCs w:val="28"/>
        </w:rPr>
      </w:pPr>
      <w:r w:rsidRPr="2F24C424">
        <w:rPr>
          <w:rFonts w:ascii="Arial" w:eastAsia="Arial" w:hAnsi="Arial"/>
          <w:bCs/>
          <w:color w:val="auto"/>
          <w:sz w:val="28"/>
          <w:szCs w:val="28"/>
        </w:rPr>
        <w:t xml:space="preserve">Disability Discrimination in Rental Housing </w:t>
      </w:r>
    </w:p>
    <w:p w14:paraId="122190A0" w14:textId="19E10280" w:rsidR="00A50338" w:rsidRDefault="2F24C424" w:rsidP="2F24C424">
      <w:pPr>
        <w:spacing w:after="120"/>
        <w:rPr>
          <w:rFonts w:eastAsia="DengXian"/>
          <w:szCs w:val="24"/>
          <w:lang w:eastAsia="en-NZ"/>
        </w:rPr>
      </w:pPr>
      <w:r w:rsidRPr="2F24C424">
        <w:rPr>
          <w:rFonts w:eastAsia="Arial" w:cs="Arial"/>
          <w:lang w:eastAsia="en-NZ"/>
        </w:rPr>
        <w:t>DPA is aware that disabled people regularly face discrimination in accessing rental housing on the grounds of disability, for example because they use a disability assistance dog. We believe that the regulation of residential property managers has the potential to make a significant difference here.</w:t>
      </w:r>
    </w:p>
    <w:p w14:paraId="6C67C0C8" w14:textId="1DC18B82" w:rsidR="00A50338" w:rsidRDefault="2F24C424" w:rsidP="2F24C424">
      <w:pPr>
        <w:spacing w:after="120"/>
        <w:rPr>
          <w:rFonts w:eastAsia="Arial" w:cs="Arial"/>
          <w:lang w:eastAsia="en-NZ"/>
        </w:rPr>
      </w:pPr>
      <w:r w:rsidRPr="2F24C424">
        <w:rPr>
          <w:rFonts w:eastAsia="Arial" w:cs="Arial"/>
          <w:lang w:eastAsia="en-NZ"/>
        </w:rPr>
        <w:t xml:space="preserve">While disability discrimination, including in housing, is covered by the Human Rights Act (1993) the unfortunate reality is that in practice this provision has had little impact for disabled people denied rental housing </w:t>
      </w:r>
      <w:proofErr w:type="gramStart"/>
      <w:r w:rsidRPr="2F24C424">
        <w:rPr>
          <w:rFonts w:eastAsia="Arial" w:cs="Arial"/>
          <w:lang w:eastAsia="en-NZ"/>
        </w:rPr>
        <w:t>on the basis of</w:t>
      </w:r>
      <w:proofErr w:type="gramEnd"/>
      <w:r w:rsidRPr="2F24C424">
        <w:rPr>
          <w:rFonts w:eastAsia="Arial" w:cs="Arial"/>
          <w:lang w:eastAsia="en-NZ"/>
        </w:rPr>
        <w:t xml:space="preserve"> their disability. </w:t>
      </w:r>
    </w:p>
    <w:p w14:paraId="048CADA0" w14:textId="0C1BEE9E" w:rsidR="00A50338" w:rsidRDefault="2F24C424" w:rsidP="2F24C424">
      <w:pPr>
        <w:spacing w:after="120"/>
        <w:rPr>
          <w:rFonts w:eastAsia="Arial" w:cs="Arial"/>
          <w:lang w:eastAsia="en-NZ"/>
        </w:rPr>
      </w:pPr>
      <w:r w:rsidRPr="2F24C424">
        <w:rPr>
          <w:rFonts w:eastAsia="Arial" w:cs="Arial"/>
          <w:lang w:eastAsia="en-NZ"/>
        </w:rPr>
        <w:t xml:space="preserve">This is because although they can take a case of disability discrimination to the Human Rights Review Tribunal (HRRT) to seek redress, this is of little immediate value in a housing shortage – for while proceedings are ongoing the house will usually have been let to someone else and the disabled person, and potentially their family, are left homeless or inadequately housed. It is very difficult for someone in this position to have the capacity to seek redress as their energies and resources will be spent on trying to get housing. </w:t>
      </w:r>
    </w:p>
    <w:p w14:paraId="573D9AA3" w14:textId="0E09755A" w:rsidR="00492125" w:rsidRDefault="2F24C424" w:rsidP="2F24C424">
      <w:pPr>
        <w:spacing w:after="120"/>
        <w:rPr>
          <w:rFonts w:eastAsia="Arial" w:cs="Arial"/>
          <w:lang w:eastAsia="en-NZ"/>
        </w:rPr>
      </w:pPr>
      <w:r w:rsidRPr="2F24C424">
        <w:rPr>
          <w:rFonts w:eastAsia="Arial" w:cs="Arial"/>
          <w:lang w:eastAsia="en-NZ"/>
        </w:rPr>
        <w:t xml:space="preserve">DPA would like to see making non-discrimination against disabled people an explicit part of the regulatory framework which residential property managers must comply with. This would assist in preventing disability discrimination and would help create a more level playing field for disabled people to access adequate rental housing. </w:t>
      </w:r>
    </w:p>
    <w:p w14:paraId="544B375B" w14:textId="7468860D" w:rsidR="002A196E" w:rsidRDefault="2F24C424" w:rsidP="2F24C424">
      <w:pPr>
        <w:pStyle w:val="Heading2"/>
        <w:spacing w:before="0" w:line="360" w:lineRule="auto"/>
        <w:ind w:left="0"/>
        <w:rPr>
          <w:rFonts w:ascii="Arial" w:eastAsia="Arial" w:hAnsi="Arial"/>
          <w:b/>
          <w:bCs/>
          <w:color w:val="auto"/>
          <w:sz w:val="28"/>
          <w:szCs w:val="28"/>
        </w:rPr>
      </w:pPr>
      <w:r w:rsidRPr="2F24C424">
        <w:rPr>
          <w:rFonts w:ascii="Arial" w:eastAsia="Arial" w:hAnsi="Arial"/>
          <w:b/>
          <w:bCs/>
          <w:color w:val="auto"/>
          <w:sz w:val="28"/>
          <w:szCs w:val="28"/>
        </w:rPr>
        <w:t xml:space="preserve">Minor Modifications to Properties </w:t>
      </w:r>
    </w:p>
    <w:p w14:paraId="5840A477" w14:textId="66AB5ABE" w:rsidR="00E743F2" w:rsidRDefault="2F24C424" w:rsidP="2F24C424">
      <w:pPr>
        <w:spacing w:after="120"/>
        <w:rPr>
          <w:rFonts w:eastAsia="Arial" w:cs="Arial"/>
          <w:lang w:eastAsia="en-NZ"/>
        </w:rPr>
      </w:pPr>
      <w:r w:rsidRPr="2F24C424">
        <w:rPr>
          <w:rFonts w:eastAsia="Arial" w:cs="Arial"/>
          <w:lang w:eastAsia="en-NZ"/>
        </w:rPr>
        <w:t xml:space="preserve">Preventing residential property managers from unreasonably withholding consent to minor property modifications to properties will lead to better outcomes for disabled people. DPA is aware of issues such as disabled people not being allowed to fence part of a rental property to either keep a disability </w:t>
      </w:r>
      <w:r w:rsidR="005001EC">
        <w:rPr>
          <w:rFonts w:eastAsia="Arial" w:cs="Arial"/>
          <w:lang w:eastAsia="en-NZ"/>
        </w:rPr>
        <w:t xml:space="preserve">service dog </w:t>
      </w:r>
      <w:r w:rsidRPr="2F24C424">
        <w:rPr>
          <w:rFonts w:eastAsia="Arial" w:cs="Arial"/>
          <w:lang w:eastAsia="en-NZ"/>
        </w:rPr>
        <w:t xml:space="preserve">in or to prevent a neuro-diverse child from running away. Such property modifications are minor and not only make the property better for the current tenants, but for future tenants. This is true of many accessibility modifications including: fitting flashing fire alarms, removing small steps etc. </w:t>
      </w:r>
    </w:p>
    <w:p w14:paraId="427B8851" w14:textId="1DB19321" w:rsidR="00075131" w:rsidRDefault="2F24C424" w:rsidP="2F24C424">
      <w:pPr>
        <w:pStyle w:val="Heading1"/>
        <w:spacing w:before="0" w:after="120" w:line="360" w:lineRule="auto"/>
        <w:ind w:firstLine="567"/>
        <w:rPr>
          <w:rFonts w:ascii="Arial" w:eastAsia="Arial" w:hAnsi="Arial"/>
          <w:bCs/>
          <w:color w:val="auto"/>
          <w:sz w:val="24"/>
          <w:szCs w:val="24"/>
        </w:rPr>
      </w:pPr>
      <w:r w:rsidRPr="2F24C424">
        <w:rPr>
          <w:rFonts w:ascii="Arial" w:eastAsia="Arial" w:hAnsi="Arial"/>
          <w:bCs/>
          <w:color w:val="auto"/>
          <w:sz w:val="24"/>
          <w:szCs w:val="24"/>
        </w:rPr>
        <w:t>Continuing professional development for residential property managers</w:t>
      </w:r>
    </w:p>
    <w:p w14:paraId="4761F9BB" w14:textId="3B1F86D5" w:rsidR="00D547F9" w:rsidRDefault="2F24C424" w:rsidP="2F24C424">
      <w:pPr>
        <w:spacing w:after="120"/>
        <w:rPr>
          <w:rFonts w:eastAsia="Arial" w:cs="Arial"/>
          <w:lang w:eastAsia="en-NZ"/>
        </w:rPr>
      </w:pPr>
      <w:r w:rsidRPr="2F24C424">
        <w:rPr>
          <w:rFonts w:eastAsia="Arial" w:cs="Arial"/>
          <w:lang w:eastAsia="en-NZ"/>
        </w:rPr>
        <w:t xml:space="preserve">DPA is supportive of the proposal to require all licensed residential property managers to undertake 20 hours of professional development annually. We would like to see such </w:t>
      </w:r>
      <w:r w:rsidRPr="2F24C424">
        <w:rPr>
          <w:rFonts w:eastAsia="Arial" w:cs="Arial"/>
          <w:lang w:eastAsia="en-NZ"/>
        </w:rPr>
        <w:lastRenderedPageBreak/>
        <w:t xml:space="preserve">training include disability awareness, responsiveness, and non-discrimination courses. From issues raised by our members, residential property managers do not adequately understand the living situations of many disabled </w:t>
      </w:r>
      <w:proofErr w:type="gramStart"/>
      <w:r w:rsidRPr="2F24C424">
        <w:rPr>
          <w:rFonts w:eastAsia="Arial" w:cs="Arial"/>
          <w:lang w:eastAsia="en-NZ"/>
        </w:rPr>
        <w:t>people</w:t>
      </w:r>
      <w:proofErr w:type="gramEnd"/>
      <w:r w:rsidRPr="2F24C424">
        <w:rPr>
          <w:rFonts w:eastAsia="Arial" w:cs="Arial"/>
          <w:lang w:eastAsia="en-NZ"/>
        </w:rPr>
        <w:t xml:space="preserve"> and this leads to discrimination, stereotyping, and abuse of disabled tenants. Some examples of this lack of understanding of the living situations of disabled people include: </w:t>
      </w:r>
    </w:p>
    <w:p w14:paraId="7A3B2FB9" w14:textId="736A5917" w:rsidR="00F610D2" w:rsidRDefault="2F24C424" w:rsidP="2F24C424">
      <w:pPr>
        <w:spacing w:after="120"/>
        <w:rPr>
          <w:rFonts w:eastAsia="Arial" w:cs="Arial"/>
          <w:lang w:eastAsia="en-NZ"/>
        </w:rPr>
      </w:pPr>
      <w:r w:rsidRPr="2F24C424">
        <w:rPr>
          <w:rFonts w:eastAsia="Arial" w:cs="Arial"/>
          <w:lang w:eastAsia="en-NZ"/>
        </w:rPr>
        <w:t xml:space="preserve">• A property being leased to a single disabled person, who has caregivers stay over some nights </w:t>
      </w:r>
    </w:p>
    <w:p w14:paraId="679BE8F5" w14:textId="6DB74C76" w:rsidR="00B85307" w:rsidRDefault="2F24C424" w:rsidP="2F24C424">
      <w:pPr>
        <w:spacing w:after="120"/>
        <w:rPr>
          <w:rFonts w:eastAsia="Arial" w:cs="Arial"/>
          <w:lang w:eastAsia="en-NZ"/>
        </w:rPr>
      </w:pPr>
      <w:r w:rsidRPr="2F24C424">
        <w:rPr>
          <w:rFonts w:eastAsia="Arial" w:cs="Arial"/>
          <w:lang w:eastAsia="en-NZ"/>
        </w:rPr>
        <w:t xml:space="preserve">• A flat share of a group of disabled people who provide support to each other </w:t>
      </w:r>
    </w:p>
    <w:p w14:paraId="30E60473" w14:textId="061CB590" w:rsidR="00B85307" w:rsidRDefault="2F24C424" w:rsidP="2F24C424">
      <w:pPr>
        <w:spacing w:after="120"/>
        <w:rPr>
          <w:rFonts w:eastAsia="Arial" w:cs="Arial"/>
          <w:lang w:eastAsia="en-NZ"/>
        </w:rPr>
      </w:pPr>
      <w:r w:rsidRPr="2F24C424">
        <w:rPr>
          <w:rFonts w:eastAsia="Arial" w:cs="Arial"/>
          <w:lang w:eastAsia="en-NZ"/>
        </w:rPr>
        <w:t xml:space="preserve">• Families who disclose that a child is neuro-diverse and don’t get the property because of stereotyping that the child will damage the property </w:t>
      </w:r>
    </w:p>
    <w:p w14:paraId="16681E27" w14:textId="47E89222" w:rsidR="00DE0A96" w:rsidRDefault="2F24C424" w:rsidP="2F24C424">
      <w:pPr>
        <w:spacing w:after="120"/>
        <w:rPr>
          <w:rFonts w:eastAsia="Arial" w:cs="Arial"/>
          <w:lang w:eastAsia="en-NZ"/>
        </w:rPr>
      </w:pPr>
      <w:r w:rsidRPr="2F24C424">
        <w:rPr>
          <w:rFonts w:eastAsia="Arial" w:cs="Arial"/>
          <w:lang w:eastAsia="en-NZ"/>
        </w:rPr>
        <w:t xml:space="preserve">• Service animal users being denied tenancies because of a lack of understanding of the law around service animals </w:t>
      </w:r>
    </w:p>
    <w:p w14:paraId="5868C29F" w14:textId="0E83363D" w:rsidR="00EC7BFF" w:rsidRDefault="2F24C424" w:rsidP="2F24C424">
      <w:pPr>
        <w:spacing w:after="120"/>
        <w:rPr>
          <w:rFonts w:eastAsia="Arial" w:cs="Arial"/>
          <w:lang w:eastAsia="en-NZ"/>
        </w:rPr>
      </w:pPr>
      <w:r w:rsidRPr="2F24C424">
        <w:rPr>
          <w:rFonts w:eastAsia="Arial" w:cs="Arial"/>
          <w:lang w:eastAsia="en-NZ"/>
        </w:rPr>
        <w:t xml:space="preserve"> • A misconception that disabled people are unable to maintain the property and therefore they are denied tenancies. </w:t>
      </w:r>
    </w:p>
    <w:p w14:paraId="68599857" w14:textId="24FB7C12" w:rsidR="00BC7E9F" w:rsidRDefault="2F24C424" w:rsidP="2F24C424">
      <w:pPr>
        <w:pStyle w:val="Heading2"/>
        <w:spacing w:before="0" w:line="360" w:lineRule="auto"/>
        <w:ind w:left="0"/>
        <w:rPr>
          <w:rFonts w:ascii="Arial" w:eastAsia="Arial" w:hAnsi="Arial"/>
          <w:b/>
          <w:bCs/>
          <w:color w:val="auto"/>
          <w:sz w:val="28"/>
          <w:szCs w:val="28"/>
        </w:rPr>
      </w:pPr>
      <w:r w:rsidRPr="2F24C424">
        <w:rPr>
          <w:rFonts w:ascii="Arial" w:eastAsia="Arial" w:hAnsi="Arial"/>
          <w:b/>
          <w:bCs/>
          <w:color w:val="auto"/>
          <w:sz w:val="28"/>
          <w:szCs w:val="28"/>
        </w:rPr>
        <w:t xml:space="preserve">Property Inspections </w:t>
      </w:r>
    </w:p>
    <w:p w14:paraId="4FDCD6B7" w14:textId="0024D0A6" w:rsidR="00D738F0" w:rsidRDefault="2F24C424" w:rsidP="2F24C424">
      <w:pPr>
        <w:spacing w:after="120"/>
        <w:rPr>
          <w:rFonts w:eastAsia="Arial" w:cs="Arial"/>
          <w:lang w:eastAsia="en-NZ"/>
        </w:rPr>
      </w:pPr>
      <w:r w:rsidRPr="2F24C424">
        <w:rPr>
          <w:rFonts w:eastAsia="Arial" w:cs="Arial"/>
          <w:lang w:eastAsia="en-NZ"/>
        </w:rPr>
        <w:t xml:space="preserve">Many renters feel uneasy about property inspections. However, for disabled people who require disability home support, this uneasiness can be significantly greater. For example, a blind tenant has household support on Mondays and Fridays gets informed that the residential manager wants access to inspect the property on a Thursday. As it’s been several days since any home support has been, the blind tenant may be anxious that any mess in the property will reflect negatively on their tenancy. This situation is common for many disabled tenants. Hence DPA would like to see provision for disabled tenants to be able </w:t>
      </w:r>
      <w:r w:rsidR="00701291">
        <w:rPr>
          <w:rFonts w:eastAsia="Arial" w:cs="Arial"/>
          <w:lang w:eastAsia="en-NZ"/>
        </w:rPr>
        <w:t xml:space="preserve">to </w:t>
      </w:r>
      <w:r w:rsidRPr="2F24C424">
        <w:rPr>
          <w:rFonts w:eastAsia="Arial" w:cs="Arial"/>
          <w:lang w:eastAsia="en-NZ"/>
        </w:rPr>
        <w:t xml:space="preserve">ask for extra time before such an inspection or to request a specific day that the inspection is done </w:t>
      </w:r>
      <w:proofErr w:type="gramStart"/>
      <w:r w:rsidRPr="2F24C424">
        <w:rPr>
          <w:rFonts w:eastAsia="Arial" w:cs="Arial"/>
          <w:lang w:eastAsia="en-NZ"/>
        </w:rPr>
        <w:t>on.  .</w:t>
      </w:r>
      <w:proofErr w:type="gramEnd"/>
    </w:p>
    <w:p w14:paraId="74E8C5A9" w14:textId="029171DC" w:rsidR="00BA0B92" w:rsidRDefault="2F24C424" w:rsidP="2F24C424">
      <w:pPr>
        <w:pStyle w:val="Heading1"/>
        <w:spacing w:before="0" w:after="120" w:line="360" w:lineRule="auto"/>
        <w:ind w:firstLine="567"/>
        <w:rPr>
          <w:rFonts w:ascii="Arial" w:eastAsia="Arial" w:hAnsi="Arial"/>
          <w:b w:val="0"/>
          <w:color w:val="auto"/>
        </w:rPr>
      </w:pPr>
      <w:r w:rsidRPr="2F24C424">
        <w:rPr>
          <w:rFonts w:ascii="Arial" w:eastAsia="Arial" w:hAnsi="Arial"/>
          <w:bCs/>
          <w:color w:val="auto"/>
          <w:sz w:val="28"/>
          <w:szCs w:val="28"/>
        </w:rPr>
        <w:t xml:space="preserve">Conclusion </w:t>
      </w:r>
      <w:r w:rsidRPr="2F24C424">
        <w:rPr>
          <w:rFonts w:ascii="Arial" w:eastAsia="Arial" w:hAnsi="Arial"/>
          <w:b w:val="0"/>
          <w:color w:val="auto"/>
        </w:rPr>
        <w:t xml:space="preserve"> </w:t>
      </w:r>
    </w:p>
    <w:p w14:paraId="0DD3D923" w14:textId="4B912519" w:rsidR="00D738F0" w:rsidRPr="00D738F0" w:rsidRDefault="2F24C424" w:rsidP="2F24C424">
      <w:pPr>
        <w:spacing w:after="120"/>
        <w:rPr>
          <w:rFonts w:eastAsia="Arial" w:cs="Arial"/>
          <w:lang w:eastAsia="en-NZ"/>
        </w:rPr>
      </w:pPr>
      <w:r w:rsidRPr="2F24C424">
        <w:rPr>
          <w:rFonts w:eastAsia="Arial" w:cs="Arial"/>
          <w:lang w:eastAsia="en-NZ"/>
        </w:rPr>
        <w:t>DPA is broadly supportive of the proposals put forward in the consultation paper on the regulation of residential property managers. We would like to see the following included</w:t>
      </w:r>
    </w:p>
    <w:p w14:paraId="0C8EBD55" w14:textId="50D35A11" w:rsidR="00D738F0" w:rsidRPr="00D738F0" w:rsidRDefault="2F24C424" w:rsidP="2F24C424">
      <w:pPr>
        <w:pStyle w:val="ListParagraph"/>
        <w:numPr>
          <w:ilvl w:val="0"/>
          <w:numId w:val="8"/>
        </w:numPr>
        <w:spacing w:after="120"/>
        <w:rPr>
          <w:szCs w:val="24"/>
          <w:lang w:eastAsia="en-NZ"/>
        </w:rPr>
      </w:pPr>
      <w:r w:rsidRPr="2F24C424">
        <w:rPr>
          <w:rFonts w:eastAsia="Arial" w:cs="Arial"/>
          <w:lang w:eastAsia="en-NZ"/>
        </w:rPr>
        <w:t xml:space="preserve">Discrimination on the grounds of disability explicitly prohibited in the regulations. </w:t>
      </w:r>
    </w:p>
    <w:p w14:paraId="4283E470" w14:textId="67DD3C31" w:rsidR="00D738F0" w:rsidRPr="00D738F0" w:rsidRDefault="2F24C424" w:rsidP="2F24C424">
      <w:pPr>
        <w:pStyle w:val="ListParagraph"/>
        <w:numPr>
          <w:ilvl w:val="0"/>
          <w:numId w:val="8"/>
        </w:numPr>
        <w:spacing w:after="120"/>
        <w:rPr>
          <w:rFonts w:eastAsia="Arial" w:cs="Arial"/>
          <w:szCs w:val="24"/>
          <w:lang w:eastAsia="en-NZ"/>
        </w:rPr>
      </w:pPr>
      <w:r w:rsidRPr="2F24C424">
        <w:rPr>
          <w:rFonts w:eastAsia="Arial" w:cs="Arial"/>
          <w:lang w:eastAsia="en-NZ"/>
        </w:rPr>
        <w:t>Professional development of property managers to include a compulsory disability component</w:t>
      </w:r>
    </w:p>
    <w:p w14:paraId="5DEF09B3" w14:textId="635D49AF" w:rsidR="00D738F0" w:rsidRPr="00D738F0" w:rsidRDefault="2F24C424" w:rsidP="2F24C424">
      <w:pPr>
        <w:pStyle w:val="ListParagraph"/>
        <w:numPr>
          <w:ilvl w:val="0"/>
          <w:numId w:val="8"/>
        </w:numPr>
        <w:spacing w:after="120"/>
        <w:rPr>
          <w:rFonts w:eastAsia="Arial" w:cs="Arial"/>
          <w:szCs w:val="24"/>
          <w:lang w:eastAsia="en-NZ"/>
        </w:rPr>
      </w:pPr>
      <w:r w:rsidRPr="2F24C424">
        <w:rPr>
          <w:rFonts w:eastAsia="Arial" w:cs="Arial"/>
          <w:lang w:eastAsia="en-NZ"/>
        </w:rPr>
        <w:lastRenderedPageBreak/>
        <w:t>Property managers expected to be more familiar with the range of living situations of disabled people, knowledgeable of the range of minor property modifications that may be needed, and supportive of such requests.</w:t>
      </w:r>
    </w:p>
    <w:p w14:paraId="03A6541F" w14:textId="4B432380" w:rsidR="00D738F0" w:rsidRPr="00D738F0" w:rsidRDefault="2F24C424" w:rsidP="2F24C424">
      <w:pPr>
        <w:pStyle w:val="ListParagraph"/>
        <w:numPr>
          <w:ilvl w:val="0"/>
          <w:numId w:val="8"/>
        </w:numPr>
        <w:spacing w:after="120"/>
        <w:rPr>
          <w:szCs w:val="24"/>
          <w:lang w:eastAsia="en-NZ"/>
        </w:rPr>
      </w:pPr>
      <w:r w:rsidRPr="2F24C424">
        <w:rPr>
          <w:rFonts w:eastAsia="Arial" w:cs="Arial"/>
          <w:lang w:eastAsia="en-NZ"/>
        </w:rPr>
        <w:t>Provision for disabled tenants to be able to request extra time before property inspections or to be given more notice of upcoming property inspections.</w:t>
      </w:r>
    </w:p>
    <w:p w14:paraId="74AE5E7F" w14:textId="4B185D25" w:rsidR="00D738F0" w:rsidRPr="00D738F0" w:rsidRDefault="00D738F0" w:rsidP="2F24C424">
      <w:pPr>
        <w:pStyle w:val="ListParagraph"/>
        <w:spacing w:after="120"/>
        <w:rPr>
          <w:rFonts w:eastAsia="Arial" w:cs="Arial"/>
          <w:lang w:eastAsia="en-NZ"/>
        </w:rPr>
      </w:pPr>
    </w:p>
    <w:sectPr w:rsidR="00D738F0" w:rsidRPr="00D738F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B718" w14:textId="77777777" w:rsidR="002223B9" w:rsidRDefault="002223B9" w:rsidP="004E0C22">
      <w:pPr>
        <w:spacing w:after="0" w:line="240" w:lineRule="auto"/>
      </w:pPr>
      <w:r>
        <w:separator/>
      </w:r>
    </w:p>
  </w:endnote>
  <w:endnote w:type="continuationSeparator" w:id="0">
    <w:p w14:paraId="46BCA01F" w14:textId="77777777" w:rsidR="002223B9" w:rsidRDefault="002223B9" w:rsidP="004E0C22">
      <w:pPr>
        <w:spacing w:after="0" w:line="240" w:lineRule="auto"/>
      </w:pPr>
      <w:r>
        <w:continuationSeparator/>
      </w:r>
    </w:p>
  </w:endnote>
  <w:endnote w:type="continuationNotice" w:id="1">
    <w:p w14:paraId="36C16BA2" w14:textId="77777777" w:rsidR="002223B9" w:rsidRDefault="00222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2CDA" w14:textId="77777777" w:rsidR="002223B9" w:rsidRDefault="002223B9" w:rsidP="004E0C22">
      <w:pPr>
        <w:spacing w:after="0" w:line="240" w:lineRule="auto"/>
      </w:pPr>
      <w:r>
        <w:separator/>
      </w:r>
    </w:p>
  </w:footnote>
  <w:footnote w:type="continuationSeparator" w:id="0">
    <w:p w14:paraId="545042F8" w14:textId="77777777" w:rsidR="002223B9" w:rsidRDefault="002223B9" w:rsidP="004E0C22">
      <w:pPr>
        <w:spacing w:after="0" w:line="240" w:lineRule="auto"/>
      </w:pPr>
      <w:r>
        <w:continuationSeparator/>
      </w:r>
    </w:p>
  </w:footnote>
  <w:footnote w:type="continuationNotice" w:id="1">
    <w:p w14:paraId="1D152E45" w14:textId="77777777" w:rsidR="002223B9" w:rsidRDefault="002223B9">
      <w:pPr>
        <w:spacing w:after="0" w:line="240" w:lineRule="auto"/>
      </w:pPr>
    </w:p>
  </w:footnote>
  <w:footnote w:id="2">
    <w:p w14:paraId="5DF467BE" w14:textId="77777777" w:rsidR="004E0C22" w:rsidRPr="00006D92" w:rsidRDefault="004E0C22" w:rsidP="004E0C22">
      <w:pPr>
        <w:pStyle w:val="FootnoteText"/>
        <w:rPr>
          <w:lang w:val="en-GB"/>
        </w:rPr>
      </w:pPr>
      <w:r>
        <w:rPr>
          <w:rStyle w:val="FootnoteReference"/>
        </w:rPr>
        <w:footnoteRef/>
      </w:r>
      <w:r>
        <w:t xml:space="preserve"> </w:t>
      </w:r>
      <w:r>
        <w:rPr>
          <w:lang w:val="en-GB"/>
        </w:rPr>
        <w:t xml:space="preserve">United Nations (2006), UNCRPD Article 19, accessed 8 June 2020.  Retrieved from </w:t>
      </w:r>
      <w:hyperlink r:id="rId1" w:history="1">
        <w:r w:rsidRPr="00921164">
          <w:rPr>
            <w:rStyle w:val="Hyperlink"/>
            <w:lang w:val="en-GB"/>
          </w:rPr>
          <w:t>https://www.un.org/development/desa/disabilities/convention-on-the-rights-of-persons-with-disabilities/article-19-living-independently-and-being-included-in-the-community.html</w:t>
        </w:r>
      </w:hyperlink>
      <w:r>
        <w:rPr>
          <w:lang w:val="en-GB"/>
        </w:rPr>
        <w:t xml:space="preserve"> </w:t>
      </w:r>
    </w:p>
  </w:footnote>
  <w:footnote w:id="3">
    <w:p w14:paraId="043CBA92" w14:textId="77777777" w:rsidR="004E0C22" w:rsidRPr="00DB60A4" w:rsidRDefault="004E0C22" w:rsidP="004E0C22">
      <w:pPr>
        <w:pStyle w:val="FootnoteText"/>
        <w:rPr>
          <w:lang w:val="en-GB"/>
        </w:rPr>
      </w:pPr>
      <w:r>
        <w:rPr>
          <w:rStyle w:val="FootnoteReference"/>
        </w:rPr>
        <w:footnoteRef/>
      </w:r>
      <w:r>
        <w:t xml:space="preserve"> </w:t>
      </w:r>
      <w:r>
        <w:rPr>
          <w:lang w:val="en-GB"/>
        </w:rPr>
        <w:t xml:space="preserve">United Nations (2006), UNCRPD Article 28, accessed 8 June 2020. Retrieved from </w:t>
      </w:r>
      <w:hyperlink r:id="rId2" w:history="1">
        <w:r w:rsidRPr="00921164">
          <w:rPr>
            <w:rStyle w:val="Hyperlink"/>
            <w:lang w:val="en-GB"/>
          </w:rPr>
          <w:t>https://www.un.org/development/desa/disabilities/convention-on-the-rights-of-persons-with-disabilities/article-28-adequate-standard-of-living-and-social-protection.html</w:t>
        </w:r>
      </w:hyperlink>
      <w:r>
        <w:rPr>
          <w:lang w:val="en-GB"/>
        </w:rPr>
        <w:t xml:space="preserve"> </w:t>
      </w:r>
    </w:p>
  </w:footnote>
  <w:footnote w:id="4">
    <w:p w14:paraId="067A9535" w14:textId="77777777" w:rsidR="004E0C22" w:rsidRPr="00F86DF6" w:rsidRDefault="004E0C22" w:rsidP="004E0C22">
      <w:pPr>
        <w:rPr>
          <w:color w:val="000000" w:themeColor="text1"/>
          <w:szCs w:val="24"/>
        </w:rPr>
      </w:pPr>
      <w:r>
        <w:rPr>
          <w:rStyle w:val="FootnoteReference"/>
        </w:rPr>
        <w:footnoteRef/>
      </w:r>
      <w:r>
        <w:t xml:space="preserve"> </w:t>
      </w:r>
      <w:r w:rsidRPr="00A10152">
        <w:rPr>
          <w:color w:val="000000" w:themeColor="text1"/>
          <w:sz w:val="20"/>
          <w:szCs w:val="20"/>
        </w:rPr>
        <w:t xml:space="preserve">Ministry of Social Development (2016). </w:t>
      </w:r>
      <w:r w:rsidRPr="00A10152">
        <w:rPr>
          <w:i/>
          <w:iCs/>
          <w:color w:val="000000" w:themeColor="text1"/>
          <w:sz w:val="20"/>
          <w:szCs w:val="20"/>
        </w:rPr>
        <w:t>New Zealand Disability Strategy 2016–2026</w:t>
      </w:r>
      <w:r w:rsidRPr="00A10152">
        <w:rPr>
          <w:color w:val="000000" w:themeColor="text1"/>
          <w:sz w:val="20"/>
          <w:szCs w:val="20"/>
        </w:rPr>
        <w:t>. Wellington: Ministry of Social Development.</w:t>
      </w:r>
    </w:p>
    <w:p w14:paraId="27BACFFF" w14:textId="77777777" w:rsidR="004E0C22" w:rsidRPr="00A10152" w:rsidRDefault="004E0C22" w:rsidP="004E0C22">
      <w:pPr>
        <w:pStyle w:val="FootnoteText"/>
        <w:rPr>
          <w:lang w:val="en-GB"/>
        </w:rPr>
      </w:pPr>
    </w:p>
  </w:footnote>
  <w:footnote w:id="5">
    <w:p w14:paraId="44CA36E3" w14:textId="77777777" w:rsidR="004E0C22" w:rsidRPr="00F86DF6" w:rsidRDefault="004E0C22" w:rsidP="004E0C22">
      <w:pPr>
        <w:ind w:left="288" w:hanging="288"/>
        <w:rPr>
          <w:color w:val="000000" w:themeColor="text1"/>
          <w:szCs w:val="24"/>
        </w:rPr>
      </w:pPr>
      <w:r>
        <w:rPr>
          <w:rStyle w:val="FootnoteReference"/>
        </w:rPr>
        <w:footnoteRef/>
      </w:r>
      <w:r>
        <w:t xml:space="preserve"> </w:t>
      </w:r>
      <w:r w:rsidRPr="0AAF5A18">
        <w:rPr>
          <w:color w:val="000000" w:themeColor="text1"/>
          <w:szCs w:val="24"/>
        </w:rPr>
        <w:t>Ministry of Social Development (2019</w:t>
      </w:r>
      <w:r>
        <w:rPr>
          <w:color w:val="000000" w:themeColor="text1"/>
          <w:szCs w:val="24"/>
        </w:rPr>
        <w:t>b</w:t>
      </w:r>
      <w:r w:rsidRPr="0AAF5A18">
        <w:rPr>
          <w:color w:val="000000" w:themeColor="text1"/>
          <w:szCs w:val="24"/>
        </w:rPr>
        <w:t xml:space="preserve">). </w:t>
      </w:r>
      <w:r w:rsidRPr="0AAF5A18">
        <w:rPr>
          <w:i/>
          <w:iCs/>
          <w:color w:val="000000" w:themeColor="text1"/>
          <w:szCs w:val="24"/>
        </w:rPr>
        <w:t>New Zealand Disability Action Plan 2019-2023</w:t>
      </w:r>
      <w:r w:rsidRPr="0AAF5A18">
        <w:rPr>
          <w:color w:val="000000" w:themeColor="text1"/>
          <w:szCs w:val="24"/>
        </w:rPr>
        <w:t>. Wellington. Retrieved May 26</w:t>
      </w:r>
      <w:r w:rsidRPr="0AAF5A18">
        <w:rPr>
          <w:color w:val="000000" w:themeColor="text1"/>
          <w:szCs w:val="24"/>
        </w:rPr>
        <w:t xml:space="preserve"> 2020, from </w:t>
      </w:r>
      <w:hyperlink r:id="rId3" w:history="1">
        <w:r w:rsidRPr="00921164">
          <w:rPr>
            <w:rStyle w:val="Hyperlink"/>
            <w:szCs w:val="24"/>
          </w:rPr>
          <w:t>https://www.odi.govt.nz/disability-action-plan-2/the-disability-action-plan/</w:t>
        </w:r>
      </w:hyperlink>
      <w:r>
        <w:rPr>
          <w:color w:val="000000" w:themeColor="text1"/>
          <w:szCs w:val="24"/>
        </w:rPr>
        <w:t xml:space="preserve"> </w:t>
      </w:r>
    </w:p>
    <w:p w14:paraId="1CA886B9" w14:textId="77777777" w:rsidR="004E0C22" w:rsidRPr="00A10152" w:rsidRDefault="004E0C22" w:rsidP="004E0C22">
      <w:pPr>
        <w:pStyle w:val="FootnoteText"/>
        <w:rPr>
          <w:lang w:val="en-GB"/>
        </w:rPr>
      </w:pPr>
    </w:p>
  </w:footnote>
  <w:footnote w:id="6">
    <w:p w14:paraId="0CFE22B0" w14:textId="77777777" w:rsidR="00850D58" w:rsidRDefault="00850D58" w:rsidP="00850D58">
      <w:pPr>
        <w:pStyle w:val="FootnoteText"/>
        <w:rPr>
          <w:lang w:val="en-GB"/>
        </w:rPr>
      </w:pPr>
      <w:r w:rsidRPr="7036ACD6">
        <w:rPr>
          <w:rStyle w:val="FootnoteReference"/>
        </w:rPr>
        <w:footnoteRef/>
      </w:r>
      <w:r>
        <w:t xml:space="preserve"> </w:t>
      </w:r>
      <w:r w:rsidRPr="7036ACD6">
        <w:rPr>
          <w:color w:val="000000" w:themeColor="text1"/>
        </w:rPr>
        <w:t xml:space="preserve">Statistics NZ (2013) Disability and Housing conditions. Wellington. Retrieved 4 June 2020, from </w:t>
      </w:r>
      <w:hyperlink r:id="rId4">
        <w:r w:rsidRPr="7036ACD6">
          <w:rPr>
            <w:rStyle w:val="Hyperlink"/>
          </w:rPr>
          <w:t>https://www.stats.govt.nz/reports/disability-and-housing-conditions-2013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7.5pt;height:26.25pt" o:bullet="t">
        <v:imagedata r:id="rId1" o:title="art1C51"/>
      </v:shape>
    </w:pict>
  </w:numPicBullet>
  <w:abstractNum w:abstractNumId="0" w15:restartNumberingAfterBreak="0">
    <w:nsid w:val="112A1D59"/>
    <w:multiLevelType w:val="hybridMultilevel"/>
    <w:tmpl w:val="2954D7C6"/>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2C49"/>
    <w:multiLevelType w:val="hybridMultilevel"/>
    <w:tmpl w:val="FFFFFFFF"/>
    <w:lvl w:ilvl="0" w:tplc="4B4874D0">
      <w:start w:val="1"/>
      <w:numFmt w:val="bullet"/>
      <w:lvlText w:val=""/>
      <w:lvlJc w:val="left"/>
      <w:pPr>
        <w:ind w:left="720" w:hanging="360"/>
      </w:pPr>
      <w:rPr>
        <w:rFonts w:ascii="Symbol" w:hAnsi="Symbol" w:hint="default"/>
      </w:rPr>
    </w:lvl>
    <w:lvl w:ilvl="1" w:tplc="E16C6D30">
      <w:start w:val="1"/>
      <w:numFmt w:val="bullet"/>
      <w:lvlText w:val="o"/>
      <w:lvlJc w:val="left"/>
      <w:pPr>
        <w:ind w:left="1440" w:hanging="360"/>
      </w:pPr>
      <w:rPr>
        <w:rFonts w:ascii="Courier New" w:hAnsi="Courier New" w:hint="default"/>
      </w:rPr>
    </w:lvl>
    <w:lvl w:ilvl="2" w:tplc="692C5C68">
      <w:start w:val="1"/>
      <w:numFmt w:val="bullet"/>
      <w:lvlText w:val=""/>
      <w:lvlJc w:val="left"/>
      <w:pPr>
        <w:ind w:left="2160" w:hanging="360"/>
      </w:pPr>
      <w:rPr>
        <w:rFonts w:ascii="Wingdings" w:hAnsi="Wingdings" w:hint="default"/>
      </w:rPr>
    </w:lvl>
    <w:lvl w:ilvl="3" w:tplc="83B2E45C">
      <w:start w:val="1"/>
      <w:numFmt w:val="bullet"/>
      <w:lvlText w:val=""/>
      <w:lvlJc w:val="left"/>
      <w:pPr>
        <w:ind w:left="2880" w:hanging="360"/>
      </w:pPr>
      <w:rPr>
        <w:rFonts w:ascii="Symbol" w:hAnsi="Symbol" w:hint="default"/>
      </w:rPr>
    </w:lvl>
    <w:lvl w:ilvl="4" w:tplc="190EAC92">
      <w:start w:val="1"/>
      <w:numFmt w:val="bullet"/>
      <w:lvlText w:val="o"/>
      <w:lvlJc w:val="left"/>
      <w:pPr>
        <w:ind w:left="3600" w:hanging="360"/>
      </w:pPr>
      <w:rPr>
        <w:rFonts w:ascii="Courier New" w:hAnsi="Courier New" w:hint="default"/>
      </w:rPr>
    </w:lvl>
    <w:lvl w:ilvl="5" w:tplc="E98E8820">
      <w:start w:val="1"/>
      <w:numFmt w:val="bullet"/>
      <w:lvlText w:val=""/>
      <w:lvlJc w:val="left"/>
      <w:pPr>
        <w:ind w:left="4320" w:hanging="360"/>
      </w:pPr>
      <w:rPr>
        <w:rFonts w:ascii="Wingdings" w:hAnsi="Wingdings" w:hint="default"/>
      </w:rPr>
    </w:lvl>
    <w:lvl w:ilvl="6" w:tplc="A11888C2">
      <w:start w:val="1"/>
      <w:numFmt w:val="bullet"/>
      <w:lvlText w:val=""/>
      <w:lvlJc w:val="left"/>
      <w:pPr>
        <w:ind w:left="5040" w:hanging="360"/>
      </w:pPr>
      <w:rPr>
        <w:rFonts w:ascii="Symbol" w:hAnsi="Symbol" w:hint="default"/>
      </w:rPr>
    </w:lvl>
    <w:lvl w:ilvl="7" w:tplc="19286628">
      <w:start w:val="1"/>
      <w:numFmt w:val="bullet"/>
      <w:lvlText w:val="o"/>
      <w:lvlJc w:val="left"/>
      <w:pPr>
        <w:ind w:left="5760" w:hanging="360"/>
      </w:pPr>
      <w:rPr>
        <w:rFonts w:ascii="Courier New" w:hAnsi="Courier New" w:hint="default"/>
      </w:rPr>
    </w:lvl>
    <w:lvl w:ilvl="8" w:tplc="7FD6CAE4">
      <w:start w:val="1"/>
      <w:numFmt w:val="bullet"/>
      <w:lvlText w:val=""/>
      <w:lvlJc w:val="left"/>
      <w:pPr>
        <w:ind w:left="6480" w:hanging="360"/>
      </w:pPr>
      <w:rPr>
        <w:rFonts w:ascii="Wingdings" w:hAnsi="Wingdings" w:hint="default"/>
      </w:rPr>
    </w:lvl>
  </w:abstractNum>
  <w:abstractNum w:abstractNumId="2" w15:restartNumberingAfterBreak="0">
    <w:nsid w:val="289A5755"/>
    <w:multiLevelType w:val="hybridMultilevel"/>
    <w:tmpl w:val="FFFFFFFF"/>
    <w:lvl w:ilvl="0" w:tplc="1D767D24">
      <w:start w:val="1"/>
      <w:numFmt w:val="decimal"/>
      <w:lvlText w:val="%1."/>
      <w:lvlJc w:val="left"/>
      <w:pPr>
        <w:ind w:left="720" w:hanging="360"/>
      </w:pPr>
    </w:lvl>
    <w:lvl w:ilvl="1" w:tplc="598CE0D4">
      <w:start w:val="1"/>
      <w:numFmt w:val="lowerLetter"/>
      <w:lvlText w:val="%2."/>
      <w:lvlJc w:val="left"/>
      <w:pPr>
        <w:ind w:left="1440" w:hanging="360"/>
      </w:pPr>
    </w:lvl>
    <w:lvl w:ilvl="2" w:tplc="B0E0F18E">
      <w:start w:val="1"/>
      <w:numFmt w:val="lowerRoman"/>
      <w:lvlText w:val="%3."/>
      <w:lvlJc w:val="right"/>
      <w:pPr>
        <w:ind w:left="2160" w:hanging="180"/>
      </w:pPr>
    </w:lvl>
    <w:lvl w:ilvl="3" w:tplc="6EE00EC8">
      <w:start w:val="1"/>
      <w:numFmt w:val="decimal"/>
      <w:lvlText w:val="%4."/>
      <w:lvlJc w:val="left"/>
      <w:pPr>
        <w:ind w:left="2880" w:hanging="360"/>
      </w:pPr>
    </w:lvl>
    <w:lvl w:ilvl="4" w:tplc="91142C38">
      <w:start w:val="1"/>
      <w:numFmt w:val="lowerLetter"/>
      <w:lvlText w:val="%5."/>
      <w:lvlJc w:val="left"/>
      <w:pPr>
        <w:ind w:left="3600" w:hanging="360"/>
      </w:pPr>
    </w:lvl>
    <w:lvl w:ilvl="5" w:tplc="D5FA88A8">
      <w:start w:val="1"/>
      <w:numFmt w:val="lowerRoman"/>
      <w:lvlText w:val="%6."/>
      <w:lvlJc w:val="right"/>
      <w:pPr>
        <w:ind w:left="4320" w:hanging="180"/>
      </w:pPr>
    </w:lvl>
    <w:lvl w:ilvl="6" w:tplc="12B4E8CC">
      <w:start w:val="1"/>
      <w:numFmt w:val="decimal"/>
      <w:lvlText w:val="%7."/>
      <w:lvlJc w:val="left"/>
      <w:pPr>
        <w:ind w:left="5040" w:hanging="360"/>
      </w:pPr>
    </w:lvl>
    <w:lvl w:ilvl="7" w:tplc="6CB258BC">
      <w:start w:val="1"/>
      <w:numFmt w:val="lowerLetter"/>
      <w:lvlText w:val="%8."/>
      <w:lvlJc w:val="left"/>
      <w:pPr>
        <w:ind w:left="5760" w:hanging="360"/>
      </w:pPr>
    </w:lvl>
    <w:lvl w:ilvl="8" w:tplc="B87C0B90">
      <w:start w:val="1"/>
      <w:numFmt w:val="lowerRoman"/>
      <w:lvlText w:val="%9."/>
      <w:lvlJc w:val="right"/>
      <w:pPr>
        <w:ind w:left="6480" w:hanging="180"/>
      </w:pPr>
    </w:lvl>
  </w:abstractNum>
  <w:abstractNum w:abstractNumId="3"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FAD1B62"/>
    <w:multiLevelType w:val="hybridMultilevel"/>
    <w:tmpl w:val="FFFFFFFF"/>
    <w:lvl w:ilvl="0" w:tplc="7164ABC4">
      <w:start w:val="1"/>
      <w:numFmt w:val="bullet"/>
      <w:lvlText w:val=""/>
      <w:lvlJc w:val="left"/>
      <w:pPr>
        <w:ind w:left="720" w:hanging="360"/>
      </w:pPr>
      <w:rPr>
        <w:rFonts w:ascii="Symbol" w:hAnsi="Symbol" w:hint="default"/>
      </w:rPr>
    </w:lvl>
    <w:lvl w:ilvl="1" w:tplc="2C7023B4">
      <w:start w:val="1"/>
      <w:numFmt w:val="bullet"/>
      <w:lvlText w:val="o"/>
      <w:lvlJc w:val="left"/>
      <w:pPr>
        <w:ind w:left="1440" w:hanging="360"/>
      </w:pPr>
      <w:rPr>
        <w:rFonts w:ascii="Courier New" w:hAnsi="Courier New" w:hint="default"/>
      </w:rPr>
    </w:lvl>
    <w:lvl w:ilvl="2" w:tplc="1B3C0D8E">
      <w:start w:val="1"/>
      <w:numFmt w:val="bullet"/>
      <w:lvlText w:val=""/>
      <w:lvlJc w:val="left"/>
      <w:pPr>
        <w:ind w:left="2160" w:hanging="360"/>
      </w:pPr>
      <w:rPr>
        <w:rFonts w:ascii="Wingdings" w:hAnsi="Wingdings" w:hint="default"/>
      </w:rPr>
    </w:lvl>
    <w:lvl w:ilvl="3" w:tplc="612A0360">
      <w:start w:val="1"/>
      <w:numFmt w:val="bullet"/>
      <w:lvlText w:val=""/>
      <w:lvlJc w:val="left"/>
      <w:pPr>
        <w:ind w:left="2880" w:hanging="360"/>
      </w:pPr>
      <w:rPr>
        <w:rFonts w:ascii="Symbol" w:hAnsi="Symbol" w:hint="default"/>
      </w:rPr>
    </w:lvl>
    <w:lvl w:ilvl="4" w:tplc="F8C09CA4">
      <w:start w:val="1"/>
      <w:numFmt w:val="bullet"/>
      <w:lvlText w:val="o"/>
      <w:lvlJc w:val="left"/>
      <w:pPr>
        <w:ind w:left="3600" w:hanging="360"/>
      </w:pPr>
      <w:rPr>
        <w:rFonts w:ascii="Courier New" w:hAnsi="Courier New" w:hint="default"/>
      </w:rPr>
    </w:lvl>
    <w:lvl w:ilvl="5" w:tplc="B0506AA4">
      <w:start w:val="1"/>
      <w:numFmt w:val="bullet"/>
      <w:lvlText w:val=""/>
      <w:lvlJc w:val="left"/>
      <w:pPr>
        <w:ind w:left="4320" w:hanging="360"/>
      </w:pPr>
      <w:rPr>
        <w:rFonts w:ascii="Wingdings" w:hAnsi="Wingdings" w:hint="default"/>
      </w:rPr>
    </w:lvl>
    <w:lvl w:ilvl="6" w:tplc="7E505692">
      <w:start w:val="1"/>
      <w:numFmt w:val="bullet"/>
      <w:lvlText w:val=""/>
      <w:lvlJc w:val="left"/>
      <w:pPr>
        <w:ind w:left="5040" w:hanging="360"/>
      </w:pPr>
      <w:rPr>
        <w:rFonts w:ascii="Symbol" w:hAnsi="Symbol" w:hint="default"/>
      </w:rPr>
    </w:lvl>
    <w:lvl w:ilvl="7" w:tplc="BBA066C0">
      <w:start w:val="1"/>
      <w:numFmt w:val="bullet"/>
      <w:lvlText w:val="o"/>
      <w:lvlJc w:val="left"/>
      <w:pPr>
        <w:ind w:left="5760" w:hanging="360"/>
      </w:pPr>
      <w:rPr>
        <w:rFonts w:ascii="Courier New" w:hAnsi="Courier New" w:hint="default"/>
      </w:rPr>
    </w:lvl>
    <w:lvl w:ilvl="8" w:tplc="61DEDFB2">
      <w:start w:val="1"/>
      <w:numFmt w:val="bullet"/>
      <w:lvlText w:val=""/>
      <w:lvlJc w:val="left"/>
      <w:pPr>
        <w:ind w:left="6480" w:hanging="360"/>
      </w:pPr>
      <w:rPr>
        <w:rFonts w:ascii="Wingdings" w:hAnsi="Wingdings" w:hint="default"/>
      </w:rPr>
    </w:lvl>
  </w:abstractNum>
  <w:abstractNum w:abstractNumId="5" w15:restartNumberingAfterBreak="0">
    <w:nsid w:val="629E18CC"/>
    <w:multiLevelType w:val="hybridMultilevel"/>
    <w:tmpl w:val="FFFFFFFF"/>
    <w:lvl w:ilvl="0" w:tplc="FA24FB68">
      <w:start w:val="1"/>
      <w:numFmt w:val="decimal"/>
      <w:lvlText w:val="%1."/>
      <w:lvlJc w:val="left"/>
      <w:pPr>
        <w:ind w:left="720" w:hanging="360"/>
      </w:pPr>
    </w:lvl>
    <w:lvl w:ilvl="1" w:tplc="8880F75A">
      <w:start w:val="1"/>
      <w:numFmt w:val="lowerLetter"/>
      <w:lvlText w:val="%2."/>
      <w:lvlJc w:val="left"/>
      <w:pPr>
        <w:ind w:left="1440" w:hanging="360"/>
      </w:pPr>
    </w:lvl>
    <w:lvl w:ilvl="2" w:tplc="E37E1A68">
      <w:start w:val="1"/>
      <w:numFmt w:val="lowerRoman"/>
      <w:lvlText w:val="%3."/>
      <w:lvlJc w:val="right"/>
      <w:pPr>
        <w:ind w:left="2160" w:hanging="180"/>
      </w:pPr>
    </w:lvl>
    <w:lvl w:ilvl="3" w:tplc="62B889EC">
      <w:start w:val="1"/>
      <w:numFmt w:val="decimal"/>
      <w:lvlText w:val="%4."/>
      <w:lvlJc w:val="left"/>
      <w:pPr>
        <w:ind w:left="2880" w:hanging="360"/>
      </w:pPr>
    </w:lvl>
    <w:lvl w:ilvl="4" w:tplc="B2722DA0">
      <w:start w:val="1"/>
      <w:numFmt w:val="lowerLetter"/>
      <w:lvlText w:val="%5."/>
      <w:lvlJc w:val="left"/>
      <w:pPr>
        <w:ind w:left="3600" w:hanging="360"/>
      </w:pPr>
    </w:lvl>
    <w:lvl w:ilvl="5" w:tplc="AA8A240C">
      <w:start w:val="1"/>
      <w:numFmt w:val="lowerRoman"/>
      <w:lvlText w:val="%6."/>
      <w:lvlJc w:val="right"/>
      <w:pPr>
        <w:ind w:left="4320" w:hanging="180"/>
      </w:pPr>
    </w:lvl>
    <w:lvl w:ilvl="6" w:tplc="6DCEEEB6">
      <w:start w:val="1"/>
      <w:numFmt w:val="decimal"/>
      <w:lvlText w:val="%7."/>
      <w:lvlJc w:val="left"/>
      <w:pPr>
        <w:ind w:left="5040" w:hanging="360"/>
      </w:pPr>
    </w:lvl>
    <w:lvl w:ilvl="7" w:tplc="54441562">
      <w:start w:val="1"/>
      <w:numFmt w:val="lowerLetter"/>
      <w:lvlText w:val="%8."/>
      <w:lvlJc w:val="left"/>
      <w:pPr>
        <w:ind w:left="5760" w:hanging="360"/>
      </w:pPr>
    </w:lvl>
    <w:lvl w:ilvl="8" w:tplc="CCD232CC">
      <w:start w:val="1"/>
      <w:numFmt w:val="lowerRoman"/>
      <w:lvlText w:val="%9."/>
      <w:lvlJc w:val="right"/>
      <w:pPr>
        <w:ind w:left="6480" w:hanging="180"/>
      </w:pPr>
    </w:lvl>
  </w:abstractNum>
  <w:abstractNum w:abstractNumId="6" w15:restartNumberingAfterBreak="0">
    <w:nsid w:val="6B99193E"/>
    <w:multiLevelType w:val="hybridMultilevel"/>
    <w:tmpl w:val="2E1AF36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516CE"/>
    <w:multiLevelType w:val="hybridMultilevel"/>
    <w:tmpl w:val="11DCA184"/>
    <w:lvl w:ilvl="0" w:tplc="C87E26AE">
      <w:start w:val="1"/>
      <w:numFmt w:val="decimal"/>
      <w:lvlText w:val="%1."/>
      <w:lvlJc w:val="left"/>
      <w:pPr>
        <w:ind w:left="720" w:hanging="360"/>
      </w:pPr>
    </w:lvl>
    <w:lvl w:ilvl="1" w:tplc="3C7EF948">
      <w:start w:val="1"/>
      <w:numFmt w:val="lowerLetter"/>
      <w:lvlText w:val="%2."/>
      <w:lvlJc w:val="left"/>
      <w:pPr>
        <w:ind w:left="1440" w:hanging="360"/>
      </w:pPr>
    </w:lvl>
    <w:lvl w:ilvl="2" w:tplc="CB24ACEC">
      <w:start w:val="1"/>
      <w:numFmt w:val="lowerRoman"/>
      <w:lvlText w:val="%3."/>
      <w:lvlJc w:val="right"/>
      <w:pPr>
        <w:ind w:left="2160" w:hanging="180"/>
      </w:pPr>
    </w:lvl>
    <w:lvl w:ilvl="3" w:tplc="8D4887D8">
      <w:start w:val="1"/>
      <w:numFmt w:val="decimal"/>
      <w:lvlText w:val="%4."/>
      <w:lvlJc w:val="left"/>
      <w:pPr>
        <w:ind w:left="2880" w:hanging="360"/>
      </w:pPr>
    </w:lvl>
    <w:lvl w:ilvl="4" w:tplc="0BFC1658">
      <w:start w:val="1"/>
      <w:numFmt w:val="lowerLetter"/>
      <w:lvlText w:val="%5."/>
      <w:lvlJc w:val="left"/>
      <w:pPr>
        <w:ind w:left="3600" w:hanging="360"/>
      </w:pPr>
    </w:lvl>
    <w:lvl w:ilvl="5" w:tplc="ABA0AEBA">
      <w:start w:val="1"/>
      <w:numFmt w:val="lowerRoman"/>
      <w:lvlText w:val="%6."/>
      <w:lvlJc w:val="right"/>
      <w:pPr>
        <w:ind w:left="4320" w:hanging="180"/>
      </w:pPr>
    </w:lvl>
    <w:lvl w:ilvl="6" w:tplc="BAC8110C">
      <w:start w:val="1"/>
      <w:numFmt w:val="decimal"/>
      <w:lvlText w:val="%7."/>
      <w:lvlJc w:val="left"/>
      <w:pPr>
        <w:ind w:left="5040" w:hanging="360"/>
      </w:pPr>
    </w:lvl>
    <w:lvl w:ilvl="7" w:tplc="6ED8F4AC">
      <w:start w:val="1"/>
      <w:numFmt w:val="lowerLetter"/>
      <w:lvlText w:val="%8."/>
      <w:lvlJc w:val="left"/>
      <w:pPr>
        <w:ind w:left="5760" w:hanging="360"/>
      </w:pPr>
    </w:lvl>
    <w:lvl w:ilvl="8" w:tplc="F50C4DE8">
      <w:start w:val="1"/>
      <w:numFmt w:val="lowerRoman"/>
      <w:lvlText w:val="%9."/>
      <w:lvlJc w:val="right"/>
      <w:pPr>
        <w:ind w:left="6480" w:hanging="180"/>
      </w:pPr>
    </w:lvl>
  </w:abstractNum>
  <w:abstractNum w:abstractNumId="8" w15:restartNumberingAfterBreak="0">
    <w:nsid w:val="714A680D"/>
    <w:multiLevelType w:val="hybridMultilevel"/>
    <w:tmpl w:val="18F60128"/>
    <w:lvl w:ilvl="0" w:tplc="ABC40978">
      <w:start w:val="1"/>
      <w:numFmt w:val="bullet"/>
      <w:lvlText w:val=""/>
      <w:lvlJc w:val="left"/>
      <w:pPr>
        <w:ind w:left="720" w:hanging="360"/>
      </w:pPr>
      <w:rPr>
        <w:rFonts w:ascii="Symbol" w:hAnsi="Symbol" w:hint="default"/>
      </w:rPr>
    </w:lvl>
    <w:lvl w:ilvl="1" w:tplc="9C7CF278">
      <w:start w:val="1"/>
      <w:numFmt w:val="bullet"/>
      <w:lvlText w:val="o"/>
      <w:lvlJc w:val="left"/>
      <w:pPr>
        <w:ind w:left="1440" w:hanging="360"/>
      </w:pPr>
      <w:rPr>
        <w:rFonts w:ascii="Courier New" w:hAnsi="Courier New" w:hint="default"/>
      </w:rPr>
    </w:lvl>
    <w:lvl w:ilvl="2" w:tplc="6E1CA510">
      <w:start w:val="1"/>
      <w:numFmt w:val="bullet"/>
      <w:lvlText w:val=""/>
      <w:lvlJc w:val="left"/>
      <w:pPr>
        <w:ind w:left="2160" w:hanging="360"/>
      </w:pPr>
      <w:rPr>
        <w:rFonts w:ascii="Wingdings" w:hAnsi="Wingdings" w:hint="default"/>
      </w:rPr>
    </w:lvl>
    <w:lvl w:ilvl="3" w:tplc="E2F08EF2">
      <w:start w:val="1"/>
      <w:numFmt w:val="bullet"/>
      <w:lvlText w:val=""/>
      <w:lvlJc w:val="left"/>
      <w:pPr>
        <w:ind w:left="2880" w:hanging="360"/>
      </w:pPr>
      <w:rPr>
        <w:rFonts w:ascii="Symbol" w:hAnsi="Symbol" w:hint="default"/>
      </w:rPr>
    </w:lvl>
    <w:lvl w:ilvl="4" w:tplc="6B6A42A2">
      <w:start w:val="1"/>
      <w:numFmt w:val="bullet"/>
      <w:lvlText w:val="o"/>
      <w:lvlJc w:val="left"/>
      <w:pPr>
        <w:ind w:left="3600" w:hanging="360"/>
      </w:pPr>
      <w:rPr>
        <w:rFonts w:ascii="Courier New" w:hAnsi="Courier New" w:hint="default"/>
      </w:rPr>
    </w:lvl>
    <w:lvl w:ilvl="5" w:tplc="D74C0824">
      <w:start w:val="1"/>
      <w:numFmt w:val="bullet"/>
      <w:lvlText w:val=""/>
      <w:lvlJc w:val="left"/>
      <w:pPr>
        <w:ind w:left="4320" w:hanging="360"/>
      </w:pPr>
      <w:rPr>
        <w:rFonts w:ascii="Wingdings" w:hAnsi="Wingdings" w:hint="default"/>
      </w:rPr>
    </w:lvl>
    <w:lvl w:ilvl="6" w:tplc="97425F28">
      <w:start w:val="1"/>
      <w:numFmt w:val="bullet"/>
      <w:lvlText w:val=""/>
      <w:lvlJc w:val="left"/>
      <w:pPr>
        <w:ind w:left="5040" w:hanging="360"/>
      </w:pPr>
      <w:rPr>
        <w:rFonts w:ascii="Symbol" w:hAnsi="Symbol" w:hint="default"/>
      </w:rPr>
    </w:lvl>
    <w:lvl w:ilvl="7" w:tplc="D7BE1316">
      <w:start w:val="1"/>
      <w:numFmt w:val="bullet"/>
      <w:lvlText w:val="o"/>
      <w:lvlJc w:val="left"/>
      <w:pPr>
        <w:ind w:left="5760" w:hanging="360"/>
      </w:pPr>
      <w:rPr>
        <w:rFonts w:ascii="Courier New" w:hAnsi="Courier New" w:hint="default"/>
      </w:rPr>
    </w:lvl>
    <w:lvl w:ilvl="8" w:tplc="ACA84A5C">
      <w:start w:val="1"/>
      <w:numFmt w:val="bullet"/>
      <w:lvlText w:val=""/>
      <w:lvlJc w:val="left"/>
      <w:pPr>
        <w:ind w:left="6480" w:hanging="360"/>
      </w:pPr>
      <w:rPr>
        <w:rFonts w:ascii="Wingdings" w:hAnsi="Wingdings" w:hint="default"/>
      </w:rPr>
    </w:lvl>
  </w:abstractNum>
  <w:num w:numId="1" w16cid:durableId="539436772">
    <w:abstractNumId w:val="5"/>
  </w:num>
  <w:num w:numId="2" w16cid:durableId="1942683693">
    <w:abstractNumId w:val="4"/>
  </w:num>
  <w:num w:numId="3" w16cid:durableId="308168385">
    <w:abstractNumId w:val="3"/>
  </w:num>
  <w:num w:numId="4" w16cid:durableId="596136854">
    <w:abstractNumId w:val="0"/>
  </w:num>
  <w:num w:numId="5" w16cid:durableId="1623341369">
    <w:abstractNumId w:val="6"/>
  </w:num>
  <w:num w:numId="6" w16cid:durableId="383454839">
    <w:abstractNumId w:val="7"/>
  </w:num>
  <w:num w:numId="7" w16cid:durableId="294140557">
    <w:abstractNumId w:val="8"/>
  </w:num>
  <w:num w:numId="8" w16cid:durableId="1724134288">
    <w:abstractNumId w:val="2"/>
  </w:num>
  <w:num w:numId="9" w16cid:durableId="150890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13"/>
    <w:rsid w:val="000225BA"/>
    <w:rsid w:val="00075131"/>
    <w:rsid w:val="00080DB1"/>
    <w:rsid w:val="00094A93"/>
    <w:rsid w:val="000B355A"/>
    <w:rsid w:val="000E473A"/>
    <w:rsid w:val="00126EED"/>
    <w:rsid w:val="00131BC8"/>
    <w:rsid w:val="00155CC0"/>
    <w:rsid w:val="00161D45"/>
    <w:rsid w:val="00171F13"/>
    <w:rsid w:val="00172C3A"/>
    <w:rsid w:val="001748EC"/>
    <w:rsid w:val="00193706"/>
    <w:rsid w:val="001B5BC1"/>
    <w:rsid w:val="001E6CB4"/>
    <w:rsid w:val="002217F0"/>
    <w:rsid w:val="002223B9"/>
    <w:rsid w:val="002A196E"/>
    <w:rsid w:val="002B0463"/>
    <w:rsid w:val="002B32D6"/>
    <w:rsid w:val="002C2FC3"/>
    <w:rsid w:val="002D3981"/>
    <w:rsid w:val="002D538D"/>
    <w:rsid w:val="002E3D62"/>
    <w:rsid w:val="00311847"/>
    <w:rsid w:val="0035790F"/>
    <w:rsid w:val="00367F7D"/>
    <w:rsid w:val="003B2202"/>
    <w:rsid w:val="003D2989"/>
    <w:rsid w:val="00403EE1"/>
    <w:rsid w:val="00443F29"/>
    <w:rsid w:val="004457B9"/>
    <w:rsid w:val="00473D4C"/>
    <w:rsid w:val="00492125"/>
    <w:rsid w:val="004C14FD"/>
    <w:rsid w:val="004E0C22"/>
    <w:rsid w:val="004E3D1A"/>
    <w:rsid w:val="005001EC"/>
    <w:rsid w:val="00530EDB"/>
    <w:rsid w:val="005506E2"/>
    <w:rsid w:val="005D4011"/>
    <w:rsid w:val="005F6F81"/>
    <w:rsid w:val="006070EB"/>
    <w:rsid w:val="00636BBD"/>
    <w:rsid w:val="00670FC2"/>
    <w:rsid w:val="006969A4"/>
    <w:rsid w:val="006F1085"/>
    <w:rsid w:val="006F5AB7"/>
    <w:rsid w:val="00701291"/>
    <w:rsid w:val="007165BC"/>
    <w:rsid w:val="00721031"/>
    <w:rsid w:val="007327DB"/>
    <w:rsid w:val="00783B15"/>
    <w:rsid w:val="00791A1E"/>
    <w:rsid w:val="007973CF"/>
    <w:rsid w:val="00850D58"/>
    <w:rsid w:val="00874643"/>
    <w:rsid w:val="008857C0"/>
    <w:rsid w:val="008A287A"/>
    <w:rsid w:val="008D5505"/>
    <w:rsid w:val="008E0E06"/>
    <w:rsid w:val="008E15D3"/>
    <w:rsid w:val="008F2DB4"/>
    <w:rsid w:val="008F7D5D"/>
    <w:rsid w:val="0094690C"/>
    <w:rsid w:val="0096292C"/>
    <w:rsid w:val="00962CAF"/>
    <w:rsid w:val="009907C9"/>
    <w:rsid w:val="00991CA3"/>
    <w:rsid w:val="009C56C0"/>
    <w:rsid w:val="009D3322"/>
    <w:rsid w:val="009E044A"/>
    <w:rsid w:val="00A50338"/>
    <w:rsid w:val="00A70E01"/>
    <w:rsid w:val="00A73FF4"/>
    <w:rsid w:val="00AA48D6"/>
    <w:rsid w:val="00AB031E"/>
    <w:rsid w:val="00AE1866"/>
    <w:rsid w:val="00AF16A1"/>
    <w:rsid w:val="00AF4921"/>
    <w:rsid w:val="00AF51AE"/>
    <w:rsid w:val="00B15475"/>
    <w:rsid w:val="00B4299C"/>
    <w:rsid w:val="00B60E01"/>
    <w:rsid w:val="00B727D8"/>
    <w:rsid w:val="00B85307"/>
    <w:rsid w:val="00BA0B92"/>
    <w:rsid w:val="00BA28EA"/>
    <w:rsid w:val="00BC7E9F"/>
    <w:rsid w:val="00C7360A"/>
    <w:rsid w:val="00C73783"/>
    <w:rsid w:val="00C8795E"/>
    <w:rsid w:val="00CB38CD"/>
    <w:rsid w:val="00CB5D67"/>
    <w:rsid w:val="00CC25F2"/>
    <w:rsid w:val="00CD0688"/>
    <w:rsid w:val="00D547F9"/>
    <w:rsid w:val="00D738F0"/>
    <w:rsid w:val="00D750B5"/>
    <w:rsid w:val="00D84846"/>
    <w:rsid w:val="00DE0A96"/>
    <w:rsid w:val="00E72587"/>
    <w:rsid w:val="00E743F2"/>
    <w:rsid w:val="00E75C8D"/>
    <w:rsid w:val="00E75D08"/>
    <w:rsid w:val="00E864C9"/>
    <w:rsid w:val="00EA6ED6"/>
    <w:rsid w:val="00EC363F"/>
    <w:rsid w:val="00EC7BFF"/>
    <w:rsid w:val="00EF7DCD"/>
    <w:rsid w:val="00F54871"/>
    <w:rsid w:val="00F610D2"/>
    <w:rsid w:val="00F67136"/>
    <w:rsid w:val="00F901E4"/>
    <w:rsid w:val="00F9181F"/>
    <w:rsid w:val="00FA0C9C"/>
    <w:rsid w:val="00FA5BC2"/>
    <w:rsid w:val="00FC5752"/>
    <w:rsid w:val="00FD12B0"/>
    <w:rsid w:val="00FD75FC"/>
    <w:rsid w:val="2F24C42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0F00"/>
  <w15:chartTrackingRefBased/>
  <w15:docId w15:val="{6B4BAD2E-BD37-40EF-A628-02CC0150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13"/>
    <w:pPr>
      <w:spacing w:after="200" w:line="360" w:lineRule="auto"/>
    </w:pPr>
    <w:rPr>
      <w:rFonts w:ascii="Arial" w:hAnsi="Arial"/>
      <w:sz w:val="24"/>
      <w:lang w:eastAsia="en-US"/>
    </w:rPr>
  </w:style>
  <w:style w:type="paragraph" w:styleId="Heading1">
    <w:name w:val="heading 1"/>
    <w:basedOn w:val="NormalWeb"/>
    <w:next w:val="Normal"/>
    <w:link w:val="Heading1Char"/>
    <w:uiPriority w:val="9"/>
    <w:qFormat/>
    <w:rsid w:val="00171F13"/>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71F13"/>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4E0C22"/>
    <w:pPr>
      <w:keepNext/>
      <w:keepLines/>
      <w:spacing w:before="40" w:after="0" w:line="259" w:lineRule="auto"/>
      <w:outlineLvl w:val="2"/>
    </w:pPr>
    <w:rPr>
      <w:rFonts w:asciiTheme="majorHAnsi" w:eastAsiaTheme="majorEastAsia" w:hAnsiTheme="majorHAnsi" w:cstheme="majorBidi"/>
      <w:color w:val="1F3763" w:themeColor="accent1" w:themeShade="7F"/>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F13"/>
    <w:rPr>
      <w:rFonts w:ascii="Arial Rounded MT Bold" w:eastAsia="Times New Roman" w:hAnsi="Arial Rounded MT Bold" w:cs="Arial"/>
      <w:b/>
      <w:color w:val="002060"/>
      <w:sz w:val="36"/>
      <w:szCs w:val="36"/>
      <w:shd w:val="clear" w:color="auto" w:fill="FFFFFF"/>
      <w:lang w:eastAsia="en-NZ"/>
    </w:rPr>
  </w:style>
  <w:style w:type="character" w:customStyle="1" w:styleId="Heading2Char">
    <w:name w:val="Heading 2 Char"/>
    <w:basedOn w:val="DefaultParagraphFont"/>
    <w:link w:val="Heading2"/>
    <w:uiPriority w:val="9"/>
    <w:rsid w:val="00171F13"/>
    <w:rPr>
      <w:rFonts w:ascii="Arial Rounded MT Bold" w:eastAsia="Times New Roman" w:hAnsi="Arial Rounded MT Bold" w:cs="Arial"/>
      <w:color w:val="002060"/>
      <w:sz w:val="32"/>
      <w:szCs w:val="32"/>
      <w:shd w:val="clear" w:color="auto" w:fill="FFFFFF"/>
      <w:lang w:eastAsia="en-NZ"/>
    </w:rPr>
  </w:style>
  <w:style w:type="paragraph" w:styleId="ListParagraph">
    <w:name w:val="List Paragraph"/>
    <w:basedOn w:val="Normal"/>
    <w:uiPriority w:val="34"/>
    <w:qFormat/>
    <w:rsid w:val="00171F13"/>
    <w:pPr>
      <w:ind w:left="720"/>
      <w:contextualSpacing/>
    </w:pPr>
  </w:style>
  <w:style w:type="paragraph" w:styleId="NormalWeb">
    <w:name w:val="Normal (Web)"/>
    <w:basedOn w:val="Normal"/>
    <w:uiPriority w:val="99"/>
    <w:unhideWhenUsed/>
    <w:rsid w:val="00171F13"/>
    <w:pPr>
      <w:spacing w:before="100" w:beforeAutospacing="1" w:after="100" w:afterAutospacing="1" w:line="240" w:lineRule="auto"/>
    </w:pPr>
    <w:rPr>
      <w:rFonts w:ascii="Times New Roman" w:eastAsia="Times New Roman" w:hAnsi="Times New Roman" w:cs="Times New Roman"/>
      <w:szCs w:val="24"/>
      <w:lang w:eastAsia="en-NZ"/>
    </w:rPr>
  </w:style>
  <w:style w:type="character" w:styleId="Emphasis">
    <w:name w:val="Emphasis"/>
    <w:uiPriority w:val="20"/>
    <w:qFormat/>
    <w:rsid w:val="00171F13"/>
    <w:rPr>
      <w:rFonts w:ascii="Arial" w:hAnsi="Arial" w:cs="Arial"/>
      <w:color w:val="002060"/>
    </w:rPr>
  </w:style>
  <w:style w:type="character" w:styleId="Hyperlink">
    <w:name w:val="Hyperlink"/>
    <w:basedOn w:val="DefaultParagraphFont"/>
    <w:uiPriority w:val="99"/>
    <w:unhideWhenUsed/>
    <w:rsid w:val="00171F13"/>
    <w:rPr>
      <w:color w:val="0563C1" w:themeColor="hyperlink"/>
      <w:u w:val="single"/>
    </w:rPr>
  </w:style>
  <w:style w:type="character" w:customStyle="1" w:styleId="Heading3Char">
    <w:name w:val="Heading 3 Char"/>
    <w:basedOn w:val="DefaultParagraphFont"/>
    <w:link w:val="Heading3"/>
    <w:uiPriority w:val="9"/>
    <w:rsid w:val="004E0C22"/>
    <w:rPr>
      <w:rFonts w:asciiTheme="majorHAnsi" w:eastAsiaTheme="majorEastAsia" w:hAnsiTheme="majorHAnsi" w:cstheme="majorBidi"/>
      <w:color w:val="1F3763" w:themeColor="accent1" w:themeShade="7F"/>
      <w:sz w:val="24"/>
      <w:szCs w:val="24"/>
    </w:rPr>
  </w:style>
  <w:style w:type="paragraph" w:styleId="FootnoteText">
    <w:name w:val="footnote text"/>
    <w:aliases w:val="5_G"/>
    <w:basedOn w:val="Normal"/>
    <w:link w:val="FootnoteTextChar"/>
    <w:uiPriority w:val="99"/>
    <w:semiHidden/>
    <w:unhideWhenUsed/>
    <w:qFormat/>
    <w:rsid w:val="004E0C22"/>
    <w:pPr>
      <w:spacing w:after="0" w:line="240" w:lineRule="auto"/>
    </w:pPr>
    <w:rPr>
      <w:rFonts w:asciiTheme="minorHAnsi" w:hAnsiTheme="minorHAnsi"/>
      <w:sz w:val="20"/>
      <w:szCs w:val="20"/>
      <w:lang w:eastAsia="zh-CN"/>
    </w:rPr>
  </w:style>
  <w:style w:type="character" w:customStyle="1" w:styleId="FootnoteTextChar">
    <w:name w:val="Footnote Text Char"/>
    <w:aliases w:val="5_G Char"/>
    <w:basedOn w:val="DefaultParagraphFont"/>
    <w:link w:val="FootnoteText"/>
    <w:uiPriority w:val="99"/>
    <w:semiHidden/>
    <w:rsid w:val="004E0C22"/>
    <w:rPr>
      <w:sz w:val="20"/>
      <w:szCs w:val="20"/>
    </w:rPr>
  </w:style>
  <w:style w:type="character" w:styleId="FootnoteReference">
    <w:name w:val="footnote reference"/>
    <w:aliases w:val="4_G,Footnote,4_G Char,4_G Char Char,4_G Char Char Char,ftref Char Char Char Char,ftref Char Char Char Char Char,Heading 2 Char1 Char Char Char Char Char,Heading 2 Char2 Char Char Char Char Char Char,Footnote number,Footnotes refss,Ref"/>
    <w:basedOn w:val="DefaultParagraphFont"/>
    <w:uiPriority w:val="99"/>
    <w:semiHidden/>
    <w:unhideWhenUsed/>
    <w:qFormat/>
    <w:rsid w:val="004E0C22"/>
    <w:rPr>
      <w:vertAlign w:val="superscript"/>
    </w:rPr>
  </w:style>
  <w:style w:type="paragraph" w:styleId="Header">
    <w:name w:val="header"/>
    <w:basedOn w:val="Normal"/>
    <w:link w:val="HeaderChar"/>
    <w:uiPriority w:val="99"/>
    <w:semiHidden/>
    <w:unhideWhenUsed/>
    <w:rsid w:val="00126E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6EED"/>
    <w:rPr>
      <w:rFonts w:ascii="Arial" w:hAnsi="Arial"/>
      <w:sz w:val="24"/>
      <w:lang w:eastAsia="en-US"/>
    </w:rPr>
  </w:style>
  <w:style w:type="paragraph" w:styleId="Footer">
    <w:name w:val="footer"/>
    <w:basedOn w:val="Normal"/>
    <w:link w:val="FooterChar"/>
    <w:uiPriority w:val="99"/>
    <w:semiHidden/>
    <w:unhideWhenUsed/>
    <w:rsid w:val="00126E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6EE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cy@dpa.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di.govt.nz/disability-action-plan-2/the-disability-action-plan/" TargetMode="External"/><Relationship Id="rId2" Type="http://schemas.openxmlformats.org/officeDocument/2006/relationships/hyperlink" Target="https://www.un.org/development/desa/disabilities/convention-on-the-rights-of-persons-with-disabilities/article-28-adequate-standard-of-living-and-social-protection.html" TargetMode="External"/><Relationship Id="rId1" Type="http://schemas.openxmlformats.org/officeDocument/2006/relationships/hyperlink" Target="https://www.un.org/development/desa/disabilities/convention-on-the-rights-of-persons-with-disabilities/article-19-living-independently-and-being-included-in-the-community.html" TargetMode="External"/><Relationship Id="rId4" Type="http://schemas.openxmlformats.org/officeDocument/2006/relationships/hyperlink" Target="https://www.stats.govt.nz/reports/disability-and-housing-conditions-201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Links>
    <vt:vector size="30" baseType="variant">
      <vt:variant>
        <vt:i4>2424918</vt:i4>
      </vt:variant>
      <vt:variant>
        <vt:i4>0</vt:i4>
      </vt:variant>
      <vt:variant>
        <vt:i4>0</vt:i4>
      </vt:variant>
      <vt:variant>
        <vt:i4>5</vt:i4>
      </vt:variant>
      <vt:variant>
        <vt:lpwstr>mailto:policy@dpa.org.nz</vt:lpwstr>
      </vt:variant>
      <vt:variant>
        <vt:lpwstr/>
      </vt:variant>
      <vt:variant>
        <vt:i4>4653147</vt:i4>
      </vt:variant>
      <vt:variant>
        <vt:i4>9</vt:i4>
      </vt:variant>
      <vt:variant>
        <vt:i4>0</vt:i4>
      </vt:variant>
      <vt:variant>
        <vt:i4>5</vt:i4>
      </vt:variant>
      <vt:variant>
        <vt:lpwstr>https://www.stats.govt.nz/reports/disability-and-housing-conditions-2013</vt:lpwstr>
      </vt:variant>
      <vt:variant>
        <vt:lpwstr/>
      </vt:variant>
      <vt:variant>
        <vt:i4>4522069</vt:i4>
      </vt:variant>
      <vt:variant>
        <vt:i4>6</vt:i4>
      </vt:variant>
      <vt:variant>
        <vt:i4>0</vt:i4>
      </vt:variant>
      <vt:variant>
        <vt:i4>5</vt:i4>
      </vt:variant>
      <vt:variant>
        <vt:lpwstr>https://www.odi.govt.nz/disability-action-plan-2/the-disability-action-plan/</vt:lpwstr>
      </vt:variant>
      <vt:variant>
        <vt:lpwstr/>
      </vt:variant>
      <vt:variant>
        <vt:i4>4653148</vt:i4>
      </vt:variant>
      <vt:variant>
        <vt:i4>3</vt:i4>
      </vt:variant>
      <vt:variant>
        <vt:i4>0</vt:i4>
      </vt:variant>
      <vt:variant>
        <vt:i4>5</vt:i4>
      </vt:variant>
      <vt:variant>
        <vt:lpwstr>https://www.un.org/development/desa/disabilities/convention-on-the-rights-of-persons-with-disabilities/article-28-adequate-standard-of-living-and-social-protection.html</vt:lpwstr>
      </vt:variant>
      <vt:variant>
        <vt:lpwstr/>
      </vt:variant>
      <vt:variant>
        <vt:i4>7209001</vt:i4>
      </vt:variant>
      <vt:variant>
        <vt:i4>0</vt:i4>
      </vt:variant>
      <vt:variant>
        <vt:i4>0</vt:i4>
      </vt:variant>
      <vt:variant>
        <vt:i4>5</vt:i4>
      </vt:variant>
      <vt:variant>
        <vt:lpwstr>https://www.un.org/development/desa/disabilities/convention-on-the-rights-of-persons-with-disabilities/article-19-living-independently-and-being-included-in-the-community.html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Emily Tilley</cp:lastModifiedBy>
  <cp:revision>2</cp:revision>
  <dcterms:created xsi:type="dcterms:W3CDTF">2022-05-07T23:15:00Z</dcterms:created>
  <dcterms:modified xsi:type="dcterms:W3CDTF">2022-05-07T23:15:00Z</dcterms:modified>
</cp:coreProperties>
</file>