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C42E" w14:textId="0541C65E" w:rsidR="00587C7D" w:rsidRPr="005244AE" w:rsidRDefault="72AC537B" w:rsidP="00E9298B">
      <w:r>
        <w:t>October</w:t>
      </w:r>
      <w:r w:rsidR="7E7F8924">
        <w:t xml:space="preserve"> 2022</w:t>
      </w:r>
    </w:p>
    <w:p w14:paraId="713BEF40" w14:textId="726BEC45" w:rsidR="00587C7D" w:rsidRPr="005244AE" w:rsidRDefault="00587C7D" w:rsidP="00E9298B"/>
    <w:p w14:paraId="4410E38B" w14:textId="63F8BAC5" w:rsidR="000A33E1" w:rsidRPr="005244AE" w:rsidRDefault="00587C7D" w:rsidP="79D26171">
      <w:pPr>
        <w:rPr>
          <w:rFonts w:eastAsia="Arial" w:cs="Arial"/>
          <w:szCs w:val="24"/>
        </w:rPr>
      </w:pPr>
      <w:r>
        <w:t xml:space="preserve">To </w:t>
      </w:r>
      <w:r w:rsidR="3FB557B5">
        <w:t>Auckland Council</w:t>
      </w:r>
    </w:p>
    <w:p w14:paraId="47D7DEA8" w14:textId="0C843070" w:rsidR="008443CB" w:rsidRDefault="00587C7D" w:rsidP="79D26171">
      <w:pPr>
        <w:rPr>
          <w:rFonts w:eastAsia="Arial" w:cs="Arial"/>
          <w:szCs w:val="24"/>
        </w:rPr>
      </w:pPr>
      <w:r>
        <w:t>Please find attached</w:t>
      </w:r>
      <w:r w:rsidR="000A33E1">
        <w:t xml:space="preserve"> </w:t>
      </w:r>
      <w:r w:rsidR="2D44444D">
        <w:t xml:space="preserve">submission on </w:t>
      </w:r>
      <w:r w:rsidR="2D44444D" w:rsidRPr="79D26171">
        <w:rPr>
          <w:rFonts w:eastAsia="Arial" w:cs="Arial"/>
          <w:color w:val="000000" w:themeColor="text1"/>
          <w:sz w:val="22"/>
          <w:lang w:val="mi-NZ"/>
        </w:rPr>
        <w:t>Verdale Circle to Glendale Road (via Lucinda Place) shared path</w:t>
      </w:r>
    </w:p>
    <w:p w14:paraId="39E3DE5B" w14:textId="04DC0770" w:rsidR="008443CB" w:rsidRDefault="008443CB" w:rsidP="79D26171"/>
    <w:p w14:paraId="659F282C" w14:textId="46885B28" w:rsidR="00587C7D" w:rsidRPr="007800D4" w:rsidRDefault="00D26396" w:rsidP="370D21B6">
      <w:pPr>
        <w:shd w:val="clear" w:color="auto" w:fill="FFFFFF" w:themeFill="background1"/>
        <w:spacing w:before="360" w:after="120" w:line="276" w:lineRule="auto"/>
        <w:ind w:left="142" w:right="306"/>
        <w:jc w:val="center"/>
        <w:rPr>
          <w:rFonts w:ascii="Arial Rounded MT Bold" w:hAnsi="Arial Rounded MT Bold"/>
          <w:color w:val="002060"/>
          <w:sz w:val="32"/>
          <w:szCs w:val="32"/>
        </w:rPr>
      </w:pPr>
      <w:r w:rsidRPr="370D21B6">
        <w:rPr>
          <w:rFonts w:ascii="Arial Rounded MT Bold" w:hAnsi="Arial Rounded MT Bold"/>
          <w:color w:val="002060"/>
          <w:sz w:val="32"/>
          <w:szCs w:val="32"/>
        </w:rPr>
        <w:t>Disabled Persons Assembly NZ</w:t>
      </w:r>
    </w:p>
    <w:p w14:paraId="25D51A58" w14:textId="77777777" w:rsidR="00587C7D" w:rsidRDefault="00587C7D" w:rsidP="00587C7D">
      <w:pPr>
        <w:pStyle w:val="NormalWeb"/>
        <w:shd w:val="clear" w:color="auto" w:fill="FFFFFF"/>
        <w:spacing w:before="120" w:beforeAutospacing="0" w:after="120" w:afterAutospacing="0" w:line="276" w:lineRule="auto"/>
        <w:ind w:left="142" w:right="304"/>
        <w:rPr>
          <w:rFonts w:ascii="Arial" w:hAnsi="Arial" w:cs="Arial"/>
        </w:rPr>
      </w:pPr>
    </w:p>
    <w:p w14:paraId="5ACBECCC" w14:textId="77777777" w:rsidR="00587C7D" w:rsidRPr="008E541D" w:rsidRDefault="00587C7D" w:rsidP="00E9298B">
      <w:pPr>
        <w:rPr>
          <w:rStyle w:val="Emphasis"/>
        </w:rPr>
      </w:pPr>
      <w:r w:rsidRPr="370D21B6">
        <w:rPr>
          <w:rStyle w:val="Emphasis"/>
        </w:rPr>
        <w:t>Contact:</w:t>
      </w:r>
    </w:p>
    <w:p w14:paraId="73B87721" w14:textId="3C9AB2B0" w:rsidR="00E01BE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Chris Ford </w:t>
      </w:r>
    </w:p>
    <w:p w14:paraId="2A820797" w14:textId="09BF62B2" w:rsidR="00F617B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Regional Policy Advisor </w:t>
      </w:r>
    </w:p>
    <w:p w14:paraId="76A29404" w14:textId="7B9C0A20" w:rsidR="00F617B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>027 696 0872</w:t>
      </w:r>
    </w:p>
    <w:p w14:paraId="3FCA8F0F" w14:textId="24EE15B9" w:rsidR="00F617B4" w:rsidRDefault="005D1EEF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hyperlink r:id="rId11">
        <w:r w:rsidR="00F617B4" w:rsidRPr="370D21B6">
          <w:rPr>
            <w:rStyle w:val="Hyperlink"/>
            <w:rFonts w:ascii="Arial Rounded MT Bold" w:hAnsi="Arial Rounded MT Bold" w:cs="Arial"/>
            <w:b/>
            <w:bCs/>
            <w:sz w:val="28"/>
            <w:szCs w:val="28"/>
          </w:rPr>
          <w:t>chris.ford@dpa.org.nz</w:t>
        </w:r>
      </w:hyperlink>
      <w:r w:rsidR="00F617B4"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 </w:t>
      </w:r>
    </w:p>
    <w:p w14:paraId="4C13E395" w14:textId="77777777" w:rsidR="00B850AC" w:rsidRDefault="00B850AC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559B1C6B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5C39F2B4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216FCD74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2B034D0E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6C2B0E46" w14:textId="3B2DFBC2" w:rsidR="00634AEC" w:rsidRPr="004B588A" w:rsidRDefault="00634AEC" w:rsidP="79D26171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626E5D1B" w14:textId="680B128D" w:rsidR="00EF265E" w:rsidRDefault="577EF775" w:rsidP="5181EB88">
      <w:pPr>
        <w:pStyle w:val="Heading1"/>
        <w:spacing w:after="0" w:line="360" w:lineRule="auto"/>
        <w:rPr>
          <w:rFonts w:ascii="Arial" w:eastAsia="Arial" w:hAnsi="Arial"/>
          <w:bCs/>
        </w:rPr>
      </w:pPr>
      <w:r w:rsidRPr="6B328A4F">
        <w:rPr>
          <w:rFonts w:ascii="Arial" w:eastAsia="Arial" w:hAnsi="Arial"/>
          <w:bCs/>
        </w:rPr>
        <w:lastRenderedPageBreak/>
        <w:t>Introducing Disabled Persons Assembly</w:t>
      </w:r>
    </w:p>
    <w:p w14:paraId="76756CCD" w14:textId="77777777" w:rsidR="00973884" w:rsidRDefault="00973884" w:rsidP="6B328A4F">
      <w:pPr>
        <w:rPr>
          <w:rFonts w:eastAsia="Arial" w:cs="Arial"/>
          <w:b/>
          <w:bCs/>
          <w:color w:val="000000" w:themeColor="text1"/>
          <w:szCs w:val="24"/>
        </w:rPr>
      </w:pPr>
    </w:p>
    <w:p w14:paraId="56D04F9E" w14:textId="5B2D5DD4" w:rsidR="00634AEC" w:rsidRPr="006F2712" w:rsidRDefault="29DA147F" w:rsidP="6B328A4F">
      <w:p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b/>
          <w:bCs/>
          <w:color w:val="000000" w:themeColor="text1"/>
          <w:szCs w:val="24"/>
        </w:rPr>
        <w:t>We work on systemic change for the equity of disabled people</w:t>
      </w:r>
      <w:r w:rsidRPr="6B328A4F">
        <w:rPr>
          <w:rFonts w:eastAsia="Arial" w:cs="Arial"/>
          <w:color w:val="000000" w:themeColor="text1"/>
          <w:szCs w:val="24"/>
        </w:rPr>
        <w:t xml:space="preserve"> </w:t>
      </w:r>
    </w:p>
    <w:p w14:paraId="2EF61C11" w14:textId="6BC3F0E6" w:rsidR="00634AEC" w:rsidRPr="006F2712" w:rsidRDefault="29DA147F" w:rsidP="6B328A4F">
      <w:p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Organisation run by and for disabled people.  </w:t>
      </w:r>
    </w:p>
    <w:p w14:paraId="4590FE0A" w14:textId="58C3104A" w:rsidR="00634AEC" w:rsidRPr="006F2712" w:rsidRDefault="29DA147F" w:rsidP="6B328A4F">
      <w:p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b/>
          <w:bCs/>
          <w:color w:val="000000" w:themeColor="text1"/>
          <w:szCs w:val="24"/>
          <w:lang w:val="en-US"/>
        </w:rPr>
        <w:t>We recognise:</w:t>
      </w:r>
    </w:p>
    <w:p w14:paraId="6E0D6E7C" w14:textId="6F92763C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Māori as Tangata Whenua and </w:t>
      </w:r>
      <w:hyperlink r:id="rId12">
        <w:r w:rsidRPr="6B328A4F">
          <w:rPr>
            <w:rStyle w:val="Hyperlink"/>
            <w:rFonts w:eastAsia="Arial" w:cs="Arial"/>
            <w:szCs w:val="24"/>
            <w:lang w:val="en-US"/>
          </w:rPr>
          <w:t>Te Tiriti o Waitangi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Zealand;</w:t>
      </w:r>
    </w:p>
    <w:p w14:paraId="5CAE7252" w14:textId="6F4C2179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>disabled people as experts on their own lives;</w:t>
      </w:r>
    </w:p>
    <w:p w14:paraId="3BF9DE68" w14:textId="54051BE5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3">
        <w:r w:rsidRPr="6B328A4F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impairment; </w:t>
      </w:r>
    </w:p>
    <w:p w14:paraId="7587423E" w14:textId="1185FB64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6B328A4F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6AE6F6AB" w14:textId="0B522F9E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6B328A4F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0F13F150" w14:textId="25FA671D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6">
        <w:r w:rsidRPr="6B328A4F">
          <w:rPr>
            <w:rStyle w:val="Hyperlink"/>
            <w:rFonts w:eastAsia="Arial" w:cs="Arial"/>
            <w:szCs w:val="24"/>
            <w:lang w:val="en-US"/>
          </w:rPr>
          <w:t>Enabling Good Lives Principles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, </w:t>
      </w:r>
      <w:hyperlink r:id="rId17">
        <w:r w:rsidRPr="6B328A4F">
          <w:rPr>
            <w:rStyle w:val="Hyperlink"/>
            <w:rFonts w:eastAsia="Arial" w:cs="Arial"/>
            <w:szCs w:val="24"/>
          </w:rPr>
          <w:t>Whāia Te Ao Mārama: Māori Disability Action Plan</w:t>
        </w:r>
      </w:hyperlink>
      <w:r w:rsidRPr="6B328A4F">
        <w:rPr>
          <w:rFonts w:eastAsia="Arial" w:cs="Arial"/>
          <w:color w:val="000000" w:themeColor="text1"/>
          <w:szCs w:val="24"/>
        </w:rPr>
        <w:t xml:space="preserve">, and </w:t>
      </w:r>
      <w:hyperlink r:id="rId18">
        <w:r w:rsidRPr="6B328A4F">
          <w:rPr>
            <w:rStyle w:val="Hyperlink"/>
            <w:rFonts w:eastAsia="Arial" w:cs="Arial"/>
            <w:szCs w:val="24"/>
          </w:rPr>
          <w:t>Faiva Ora: National Pasifika Disability Disability Plan</w:t>
        </w:r>
      </w:hyperlink>
      <w:r w:rsidRPr="6B328A4F">
        <w:rPr>
          <w:rFonts w:eastAsia="Arial" w:cs="Arial"/>
          <w:color w:val="000000" w:themeColor="text1"/>
          <w:szCs w:val="24"/>
        </w:rPr>
        <w:t xml:space="preserve"> </w:t>
      </w:r>
      <w:r w:rsidRPr="6B328A4F">
        <w:rPr>
          <w:rFonts w:eastAsia="Arial" w:cs="Arial"/>
          <w:color w:val="000000" w:themeColor="text1"/>
          <w:szCs w:val="24"/>
          <w:lang w:val="en-US"/>
        </w:rPr>
        <w:t xml:space="preserve">as avenues to disabled people gaining greater choice and control over their lives and supports. </w:t>
      </w:r>
    </w:p>
    <w:p w14:paraId="56655852" w14:textId="59B04EA0" w:rsidR="00634AEC" w:rsidRPr="007524A6" w:rsidRDefault="29DA147F" w:rsidP="6B328A4F">
      <w:pPr>
        <w:rPr>
          <w:rFonts w:eastAsia="Arial" w:cs="Arial"/>
          <w:color w:val="000000" w:themeColor="text1"/>
          <w:szCs w:val="24"/>
        </w:rPr>
      </w:pPr>
      <w:r w:rsidRPr="007524A6">
        <w:rPr>
          <w:rFonts w:eastAsia="Arial" w:cs="Arial"/>
          <w:b/>
          <w:bCs/>
          <w:color w:val="000000" w:themeColor="text1"/>
          <w:szCs w:val="24"/>
          <w:lang w:val="en-US"/>
        </w:rPr>
        <w:t xml:space="preserve">We drive systemic change through: </w:t>
      </w:r>
    </w:p>
    <w:p w14:paraId="0B81651B" w14:textId="60E0AA80" w:rsidR="00634AEC" w:rsidRPr="007524A6" w:rsidRDefault="29DA147F" w:rsidP="6B328A4F">
      <w:pPr>
        <w:jc w:val="both"/>
        <w:rPr>
          <w:rFonts w:eastAsia="Arial" w:cs="Arial"/>
          <w:color w:val="000000" w:themeColor="text1"/>
          <w:szCs w:val="24"/>
        </w:rPr>
      </w:pPr>
      <w:r w:rsidRPr="007524A6">
        <w:rPr>
          <w:rFonts w:eastAsia="Arial" w:cs="Arial"/>
          <w:b/>
          <w:bCs/>
          <w:color w:val="000000" w:themeColor="text1"/>
          <w:szCs w:val="24"/>
        </w:rPr>
        <w:t xml:space="preserve">Leadership: </w:t>
      </w:r>
      <w:r w:rsidRPr="007524A6">
        <w:rPr>
          <w:rFonts w:eastAsia="Arial" w:cs="Arial"/>
          <w:color w:val="000000" w:themeColor="text1"/>
          <w:szCs w:val="24"/>
        </w:rPr>
        <w:t xml:space="preserve">reflecting the collective voice of disabled people, locally, nationally and internationally. </w:t>
      </w:r>
    </w:p>
    <w:p w14:paraId="24A75382" w14:textId="19B7F301" w:rsidR="00634AEC" w:rsidRPr="007524A6" w:rsidRDefault="29DA147F" w:rsidP="6B328A4F">
      <w:pPr>
        <w:rPr>
          <w:rFonts w:eastAsia="Arial" w:cs="Arial"/>
          <w:color w:val="000000" w:themeColor="text1"/>
          <w:szCs w:val="24"/>
        </w:rPr>
      </w:pPr>
      <w:r w:rsidRPr="007524A6">
        <w:rPr>
          <w:rFonts w:eastAsia="Arial" w:cs="Arial"/>
          <w:b/>
          <w:bCs/>
          <w:color w:val="000000" w:themeColor="text1"/>
          <w:szCs w:val="24"/>
        </w:rPr>
        <w:t xml:space="preserve">Information and advice: </w:t>
      </w:r>
      <w:r w:rsidRPr="007524A6">
        <w:rPr>
          <w:rFonts w:eastAsia="Arial" w:cs="Arial"/>
          <w:color w:val="000000" w:themeColor="text1"/>
          <w:szCs w:val="24"/>
        </w:rPr>
        <w:t>informing and advising on policies impacting on the lives of disabled people.</w:t>
      </w:r>
    </w:p>
    <w:p w14:paraId="530708D3" w14:textId="27027A35" w:rsidR="00634AEC" w:rsidRPr="007524A6" w:rsidRDefault="29DA147F" w:rsidP="6B328A4F">
      <w:pPr>
        <w:jc w:val="both"/>
        <w:rPr>
          <w:rFonts w:eastAsia="Arial" w:cs="Arial"/>
          <w:color w:val="000000" w:themeColor="text1"/>
          <w:szCs w:val="24"/>
        </w:rPr>
      </w:pPr>
      <w:r w:rsidRPr="007524A6">
        <w:rPr>
          <w:rFonts w:eastAsia="Arial" w:cs="Arial"/>
          <w:b/>
          <w:bCs/>
          <w:color w:val="000000" w:themeColor="text1"/>
          <w:szCs w:val="24"/>
        </w:rPr>
        <w:t xml:space="preserve">Advocacy: </w:t>
      </w:r>
      <w:r w:rsidRPr="007524A6">
        <w:rPr>
          <w:rFonts w:eastAsia="Arial" w:cs="Arial"/>
          <w:color w:val="000000" w:themeColor="text1"/>
          <w:szCs w:val="24"/>
        </w:rPr>
        <w:t>supporting disabled people to have a voice, including a collective voice, in society.</w:t>
      </w:r>
    </w:p>
    <w:p w14:paraId="231909BE" w14:textId="1C1953FD" w:rsidR="00634AEC" w:rsidRPr="00973884" w:rsidRDefault="29DA147F" w:rsidP="00973884">
      <w:pPr>
        <w:jc w:val="both"/>
        <w:rPr>
          <w:rFonts w:eastAsia="Arial" w:cs="Arial"/>
          <w:color w:val="000000" w:themeColor="text1"/>
          <w:szCs w:val="24"/>
        </w:rPr>
      </w:pPr>
      <w:r w:rsidRPr="007524A6">
        <w:rPr>
          <w:rFonts w:eastAsia="Arial" w:cs="Arial"/>
          <w:b/>
          <w:bCs/>
          <w:color w:val="000000" w:themeColor="text1"/>
          <w:szCs w:val="24"/>
        </w:rPr>
        <w:t xml:space="preserve">Monitoring: </w:t>
      </w:r>
      <w:r w:rsidRPr="007524A6">
        <w:rPr>
          <w:rFonts w:eastAsia="Arial" w:cs="Arial"/>
          <w:color w:val="000000" w:themeColor="text1"/>
          <w:szCs w:val="24"/>
        </w:rPr>
        <w:t>monitoring and giving feedback on existing laws, policies and practices about and relevant to disabled people</w:t>
      </w:r>
    </w:p>
    <w:p w14:paraId="1368214B" w14:textId="761EFF43" w:rsidR="00634AEC" w:rsidRPr="006F2712" w:rsidRDefault="004D53A5" w:rsidP="6B328A4F">
      <w:pPr>
        <w:pStyle w:val="Heading1"/>
        <w:spacing w:before="240" w:after="0" w:line="360" w:lineRule="auto"/>
        <w:rPr>
          <w:rFonts w:ascii="Arial" w:eastAsia="Arial" w:hAnsi="Arial"/>
        </w:rPr>
      </w:pPr>
      <w:r w:rsidRPr="6B328A4F">
        <w:rPr>
          <w:rFonts w:ascii="Arial" w:eastAsia="Arial" w:hAnsi="Arial"/>
        </w:rPr>
        <w:lastRenderedPageBreak/>
        <w:t xml:space="preserve">The submission </w:t>
      </w:r>
    </w:p>
    <w:p w14:paraId="5EDD563F" w14:textId="77777777" w:rsidR="00CC35FF" w:rsidRDefault="00CC35FF" w:rsidP="79D26171">
      <w:pPr>
        <w:rPr>
          <w:rStyle w:val="normaltextrun"/>
          <w:color w:val="000000" w:themeColor="text1"/>
        </w:rPr>
      </w:pPr>
    </w:p>
    <w:p w14:paraId="76628E10" w14:textId="23ADD551" w:rsidR="1ECC7D34" w:rsidRDefault="00C5373A" w:rsidP="79D26171">
      <w:pPr>
        <w:rPr>
          <w:rFonts w:eastAsia="Arial" w:cs="Arial"/>
          <w:szCs w:val="24"/>
        </w:rPr>
      </w:pPr>
      <w:r w:rsidRPr="79D26171">
        <w:rPr>
          <w:rStyle w:val="normaltextrun"/>
          <w:color w:val="000000" w:themeColor="text1"/>
        </w:rPr>
        <w:t>DPA is providing this</w:t>
      </w:r>
      <w:r w:rsidR="44DA2B67" w:rsidRPr="79D26171">
        <w:rPr>
          <w:rStyle w:val="normaltextrun"/>
          <w:color w:val="000000" w:themeColor="text1"/>
        </w:rPr>
        <w:t xml:space="preserve"> brief</w:t>
      </w:r>
      <w:r w:rsidRPr="79D26171">
        <w:rPr>
          <w:rStyle w:val="normaltextrun"/>
          <w:color w:val="000000" w:themeColor="text1"/>
        </w:rPr>
        <w:t xml:space="preserve"> submission for </w:t>
      </w:r>
      <w:r w:rsidR="2D98A62B" w:rsidRPr="79D26171">
        <w:rPr>
          <w:rStyle w:val="normaltextrun"/>
          <w:color w:val="000000" w:themeColor="text1"/>
        </w:rPr>
        <w:t>the benefit of Auckland Council</w:t>
      </w:r>
      <w:r w:rsidR="38226817" w:rsidRPr="79D26171">
        <w:rPr>
          <w:rStyle w:val="normaltextrun"/>
          <w:color w:val="000000" w:themeColor="text1"/>
        </w:rPr>
        <w:t>’s</w:t>
      </w:r>
      <w:r w:rsidR="38226817" w:rsidRPr="79D26171">
        <w:rPr>
          <w:rStyle w:val="normaltextrun"/>
          <w:rFonts w:eastAsia="Arial" w:cs="Arial"/>
          <w:szCs w:val="24"/>
        </w:rPr>
        <w:t xml:space="preserve"> Henderson-Massey &amp; </w:t>
      </w:r>
      <w:r w:rsidR="38226817" w:rsidRPr="79D26171">
        <w:rPr>
          <w:rFonts w:eastAsia="Arial" w:cs="Arial"/>
          <w:szCs w:val="24"/>
        </w:rPr>
        <w:t>Waitākere Ranges Local Boards</w:t>
      </w:r>
      <w:r w:rsidR="04516F78" w:rsidRPr="79D26171">
        <w:rPr>
          <w:rStyle w:val="normaltextrun"/>
          <w:color w:val="000000" w:themeColor="text1"/>
        </w:rPr>
        <w:t xml:space="preserve"> in </w:t>
      </w:r>
      <w:r w:rsidR="6A798476" w:rsidRPr="79D26171">
        <w:rPr>
          <w:rStyle w:val="normaltextrun"/>
          <w:color w:val="000000" w:themeColor="text1"/>
        </w:rPr>
        <w:t>their</w:t>
      </w:r>
      <w:r w:rsidR="04516F78" w:rsidRPr="79D26171">
        <w:rPr>
          <w:rStyle w:val="normaltextrun"/>
          <w:color w:val="000000" w:themeColor="text1"/>
        </w:rPr>
        <w:t xml:space="preserve"> consideration of the </w:t>
      </w:r>
      <w:r w:rsidR="04516F78" w:rsidRPr="79D26171">
        <w:rPr>
          <w:rFonts w:eastAsia="Arial" w:cs="Arial"/>
          <w:color w:val="000000" w:themeColor="text1"/>
          <w:szCs w:val="24"/>
          <w:lang w:val="mi-NZ"/>
        </w:rPr>
        <w:t xml:space="preserve">Verdale Circle to Glendale Road (via Lucinda Place) shared path project. </w:t>
      </w:r>
    </w:p>
    <w:p w14:paraId="61C87CDB" w14:textId="1CEEC027" w:rsidR="1ECC7D34" w:rsidRDefault="04516F78" w:rsidP="79D26171">
      <w:pPr>
        <w:rPr>
          <w:rFonts w:eastAsia="Arial" w:cs="Arial"/>
          <w:color w:val="000000" w:themeColor="text1"/>
          <w:szCs w:val="24"/>
          <w:lang w:val="mi-NZ"/>
        </w:rPr>
      </w:pPr>
      <w:r w:rsidRPr="79D26171">
        <w:rPr>
          <w:rFonts w:eastAsia="Arial" w:cs="Arial"/>
          <w:color w:val="000000" w:themeColor="text1"/>
          <w:szCs w:val="24"/>
          <w:lang w:val="mi-NZ"/>
        </w:rPr>
        <w:t xml:space="preserve">DPA supports the concept of shared pathways as a means of ensuring that everyone can access their communities, including disabled people. </w:t>
      </w:r>
    </w:p>
    <w:p w14:paraId="61C163DE" w14:textId="6AFCEBFD" w:rsidR="1ECC7D34" w:rsidRDefault="04516F78" w:rsidP="79D26171">
      <w:pPr>
        <w:rPr>
          <w:rFonts w:eastAsia="Arial" w:cs="Arial"/>
          <w:color w:val="000000" w:themeColor="text1"/>
          <w:szCs w:val="24"/>
          <w:lang w:val="mi-NZ"/>
        </w:rPr>
      </w:pPr>
      <w:r w:rsidRPr="79D26171">
        <w:rPr>
          <w:rFonts w:eastAsia="Arial" w:cs="Arial"/>
          <w:color w:val="000000" w:themeColor="text1"/>
          <w:szCs w:val="24"/>
          <w:lang w:val="mi-NZ"/>
        </w:rPr>
        <w:t xml:space="preserve">However, we would like to make a </w:t>
      </w:r>
      <w:r w:rsidR="00CC35FF">
        <w:rPr>
          <w:rFonts w:eastAsia="Arial" w:cs="Arial"/>
          <w:color w:val="000000" w:themeColor="text1"/>
          <w:szCs w:val="24"/>
          <w:lang w:val="mi-NZ"/>
        </w:rPr>
        <w:t xml:space="preserve">few </w:t>
      </w:r>
      <w:r w:rsidRPr="79D26171">
        <w:rPr>
          <w:rFonts w:eastAsia="Arial" w:cs="Arial"/>
          <w:color w:val="000000" w:themeColor="text1"/>
          <w:szCs w:val="24"/>
          <w:lang w:val="mi-NZ"/>
        </w:rPr>
        <w:t>recommendations in order to improve things, especially with relation to both options</w:t>
      </w:r>
      <w:r w:rsidR="6B66A9E4" w:rsidRPr="79D26171">
        <w:rPr>
          <w:rFonts w:eastAsia="Arial" w:cs="Arial"/>
          <w:color w:val="000000" w:themeColor="text1"/>
          <w:szCs w:val="24"/>
          <w:lang w:val="mi-NZ"/>
        </w:rPr>
        <w:t>, particularly Option A</w:t>
      </w:r>
      <w:r w:rsidRPr="79D26171">
        <w:rPr>
          <w:rFonts w:eastAsia="Arial" w:cs="Arial"/>
          <w:color w:val="000000" w:themeColor="text1"/>
          <w:szCs w:val="24"/>
          <w:lang w:val="mi-NZ"/>
        </w:rPr>
        <w:t>.</w:t>
      </w:r>
    </w:p>
    <w:p w14:paraId="74AD3552" w14:textId="5BE30C2C" w:rsidR="1ECC7D34" w:rsidRDefault="04516F78" w:rsidP="79D26171">
      <w:pPr>
        <w:rPr>
          <w:rFonts w:eastAsia="Arial" w:cs="Arial"/>
          <w:color w:val="000000" w:themeColor="text1"/>
          <w:szCs w:val="24"/>
          <w:lang w:val="mi-NZ"/>
        </w:rPr>
      </w:pPr>
      <w:r w:rsidRPr="79D26171">
        <w:rPr>
          <w:rFonts w:eastAsia="Arial" w:cs="Arial"/>
          <w:color w:val="000000" w:themeColor="text1"/>
          <w:szCs w:val="24"/>
          <w:lang w:val="mi-NZ"/>
        </w:rPr>
        <w:t xml:space="preserve">On balance, DPA </w:t>
      </w:r>
      <w:r w:rsidR="000313B1">
        <w:rPr>
          <w:rFonts w:eastAsia="Arial" w:cs="Arial"/>
          <w:color w:val="000000" w:themeColor="text1"/>
          <w:szCs w:val="24"/>
          <w:lang w:val="mi-NZ"/>
        </w:rPr>
        <w:t>recommends</w:t>
      </w:r>
      <w:r w:rsidRPr="79D26171">
        <w:rPr>
          <w:rFonts w:eastAsia="Arial" w:cs="Arial"/>
          <w:color w:val="000000" w:themeColor="text1"/>
          <w:szCs w:val="24"/>
          <w:lang w:val="mi-NZ"/>
        </w:rPr>
        <w:t xml:space="preserve"> Option A as</w:t>
      </w:r>
      <w:r w:rsidR="000313B1">
        <w:rPr>
          <w:rFonts w:eastAsia="Arial" w:cs="Arial"/>
          <w:color w:val="000000" w:themeColor="text1"/>
          <w:szCs w:val="24"/>
          <w:lang w:val="mi-NZ"/>
        </w:rPr>
        <w:t xml:space="preserve"> presenting</w:t>
      </w:r>
      <w:r w:rsidRPr="79D26171">
        <w:rPr>
          <w:rFonts w:eastAsia="Arial" w:cs="Arial"/>
          <w:color w:val="000000" w:themeColor="text1"/>
          <w:szCs w:val="24"/>
          <w:lang w:val="mi-NZ"/>
        </w:rPr>
        <w:t xml:space="preserve"> the best pathway option. </w:t>
      </w:r>
      <w:r w:rsidR="1EF228EC" w:rsidRPr="79D26171">
        <w:rPr>
          <w:rFonts w:eastAsia="Arial" w:cs="Arial"/>
          <w:color w:val="000000" w:themeColor="text1"/>
          <w:szCs w:val="24"/>
          <w:lang w:val="mi-NZ"/>
        </w:rPr>
        <w:t xml:space="preserve">We see that it has many positives including </w:t>
      </w:r>
      <w:r w:rsidR="007C7F61">
        <w:rPr>
          <w:rFonts w:eastAsia="Arial" w:cs="Arial"/>
          <w:color w:val="000000" w:themeColor="text1"/>
          <w:szCs w:val="24"/>
          <w:lang w:val="mi-NZ"/>
        </w:rPr>
        <w:t xml:space="preserve">it being widened by at least two metres which will benefit many pedestrians, especially disabled people who use </w:t>
      </w:r>
      <w:r w:rsidR="000F28B6">
        <w:rPr>
          <w:rFonts w:eastAsia="Arial" w:cs="Arial"/>
          <w:color w:val="000000" w:themeColor="text1"/>
          <w:szCs w:val="24"/>
          <w:lang w:val="mi-NZ"/>
        </w:rPr>
        <w:t>mobility devices including wheelchairs, mobility scooters, and walking aids.</w:t>
      </w:r>
    </w:p>
    <w:p w14:paraId="03967988" w14:textId="38795FB1" w:rsidR="000F28B6" w:rsidRDefault="000F28B6" w:rsidP="79D26171">
      <w:pPr>
        <w:rPr>
          <w:rFonts w:eastAsia="Arial" w:cs="Arial"/>
          <w:color w:val="000000" w:themeColor="text1"/>
          <w:szCs w:val="24"/>
          <w:lang w:val="mi-NZ"/>
        </w:rPr>
      </w:pPr>
      <w:r>
        <w:rPr>
          <w:rFonts w:eastAsia="Arial" w:cs="Arial"/>
          <w:color w:val="000000" w:themeColor="text1"/>
          <w:szCs w:val="24"/>
          <w:lang w:val="mi-NZ"/>
        </w:rPr>
        <w:t xml:space="preserve">We also see that this option provides </w:t>
      </w:r>
      <w:r w:rsidR="00613A4E">
        <w:rPr>
          <w:rFonts w:eastAsia="Arial" w:cs="Arial"/>
          <w:color w:val="000000" w:themeColor="text1"/>
          <w:szCs w:val="24"/>
          <w:lang w:val="mi-NZ"/>
        </w:rPr>
        <w:t>easy access to the Glendale community and its many amenities for both cyclists and pedestrians accessing the path</w:t>
      </w:r>
      <w:r w:rsidR="00CF3516">
        <w:rPr>
          <w:rFonts w:eastAsia="Arial" w:cs="Arial"/>
          <w:color w:val="000000" w:themeColor="text1"/>
          <w:szCs w:val="24"/>
          <w:lang w:val="mi-NZ"/>
        </w:rPr>
        <w:t>.</w:t>
      </w:r>
    </w:p>
    <w:p w14:paraId="21B308E9" w14:textId="5BF995C2" w:rsidR="00CF3516" w:rsidRDefault="00CF3516" w:rsidP="79D26171">
      <w:pPr>
        <w:rPr>
          <w:rFonts w:eastAsia="Arial" w:cs="Arial"/>
          <w:color w:val="000000" w:themeColor="text1"/>
          <w:szCs w:val="24"/>
          <w:lang w:val="mi-NZ"/>
        </w:rPr>
      </w:pPr>
      <w:r>
        <w:rPr>
          <w:rFonts w:eastAsia="Arial" w:cs="Arial"/>
          <w:color w:val="000000" w:themeColor="text1"/>
          <w:szCs w:val="24"/>
          <w:lang w:val="mi-NZ"/>
        </w:rPr>
        <w:t>It has many other favourable attributes compared to Option B which could require more work and greater interruption as well as having to surmount various obstacles in order to be constructed.</w:t>
      </w:r>
    </w:p>
    <w:p w14:paraId="57F3A6DB" w14:textId="4603B9D7" w:rsidR="00CF3516" w:rsidRDefault="00C421EB" w:rsidP="79D26171">
      <w:pPr>
        <w:rPr>
          <w:rFonts w:eastAsia="Arial" w:cs="Arial"/>
          <w:color w:val="000000" w:themeColor="text1"/>
          <w:szCs w:val="24"/>
          <w:lang w:val="mi-NZ"/>
        </w:rPr>
      </w:pPr>
      <w:r>
        <w:rPr>
          <w:rFonts w:eastAsia="Arial" w:cs="Arial"/>
          <w:color w:val="000000" w:themeColor="text1"/>
          <w:szCs w:val="24"/>
          <w:lang w:val="mi-NZ"/>
        </w:rPr>
        <w:t xml:space="preserve">DPA recommends that irrespective of </w:t>
      </w:r>
      <w:r w:rsidR="00E6772D">
        <w:rPr>
          <w:rFonts w:eastAsia="Arial" w:cs="Arial"/>
          <w:color w:val="000000" w:themeColor="text1"/>
          <w:szCs w:val="24"/>
          <w:lang w:val="mi-NZ"/>
        </w:rPr>
        <w:t xml:space="preserve">whether Option A or B is eventually chosen by the </w:t>
      </w:r>
      <w:r>
        <w:rPr>
          <w:rFonts w:eastAsia="Arial" w:cs="Arial"/>
          <w:color w:val="000000" w:themeColor="text1"/>
          <w:szCs w:val="24"/>
          <w:lang w:val="mi-NZ"/>
        </w:rPr>
        <w:t>Board</w:t>
      </w:r>
      <w:r w:rsidR="00E6772D">
        <w:rPr>
          <w:rFonts w:eastAsia="Arial" w:cs="Arial"/>
          <w:color w:val="000000" w:themeColor="text1"/>
          <w:szCs w:val="24"/>
          <w:lang w:val="mi-NZ"/>
        </w:rPr>
        <w:t>, our main concern remains around how the shared pathway will be managed. Given that it will be used by both cyclists and pedestrians</w:t>
      </w:r>
      <w:r w:rsidR="00034E1F">
        <w:rPr>
          <w:rFonts w:eastAsia="Arial" w:cs="Arial"/>
          <w:color w:val="000000" w:themeColor="text1"/>
          <w:szCs w:val="24"/>
          <w:lang w:val="mi-NZ"/>
        </w:rPr>
        <w:t xml:space="preserve">, we recommend that appropriate, accessible signage be placed </w:t>
      </w:r>
      <w:r w:rsidR="00044552">
        <w:rPr>
          <w:rFonts w:eastAsia="Arial" w:cs="Arial"/>
          <w:color w:val="000000" w:themeColor="text1"/>
          <w:szCs w:val="24"/>
          <w:lang w:val="mi-NZ"/>
        </w:rPr>
        <w:t>along the walkway indicating the need for both pedestrians and cyclists utilising the shared space to look out</w:t>
      </w:r>
      <w:r w:rsidR="00D66A19">
        <w:rPr>
          <w:rFonts w:eastAsia="Arial" w:cs="Arial"/>
          <w:color w:val="000000" w:themeColor="text1"/>
          <w:szCs w:val="24"/>
          <w:lang w:val="mi-NZ"/>
        </w:rPr>
        <w:t xml:space="preserve"> for</w:t>
      </w:r>
      <w:r w:rsidR="00044552">
        <w:rPr>
          <w:rFonts w:eastAsia="Arial" w:cs="Arial"/>
          <w:color w:val="000000" w:themeColor="text1"/>
          <w:szCs w:val="24"/>
          <w:lang w:val="mi-NZ"/>
        </w:rPr>
        <w:t xml:space="preserve"> </w:t>
      </w:r>
      <w:r w:rsidR="00F9028A">
        <w:rPr>
          <w:rFonts w:eastAsia="Arial" w:cs="Arial"/>
          <w:color w:val="000000" w:themeColor="text1"/>
          <w:szCs w:val="24"/>
          <w:lang w:val="mi-NZ"/>
        </w:rPr>
        <w:t>and be respectful of</w:t>
      </w:r>
      <w:r w:rsidR="00044552">
        <w:rPr>
          <w:rFonts w:eastAsia="Arial" w:cs="Arial"/>
          <w:color w:val="000000" w:themeColor="text1"/>
          <w:szCs w:val="24"/>
          <w:lang w:val="mi-NZ"/>
        </w:rPr>
        <w:t xml:space="preserve"> one another.</w:t>
      </w:r>
    </w:p>
    <w:p w14:paraId="04F298F8" w14:textId="44135C0D" w:rsidR="00044552" w:rsidRDefault="003002CE" w:rsidP="79D26171">
      <w:pPr>
        <w:rPr>
          <w:rFonts w:eastAsia="Arial" w:cs="Arial"/>
          <w:color w:val="000000" w:themeColor="text1"/>
          <w:szCs w:val="24"/>
          <w:lang w:val="mi-NZ"/>
        </w:rPr>
      </w:pPr>
      <w:r>
        <w:rPr>
          <w:rFonts w:eastAsia="Arial" w:cs="Arial"/>
          <w:color w:val="000000" w:themeColor="text1"/>
          <w:szCs w:val="24"/>
          <w:lang w:val="mi-NZ"/>
        </w:rPr>
        <w:t xml:space="preserve">DPA recommends that </w:t>
      </w:r>
      <w:r w:rsidR="007922B1">
        <w:rPr>
          <w:rFonts w:eastAsia="Arial" w:cs="Arial"/>
          <w:color w:val="000000" w:themeColor="text1"/>
          <w:szCs w:val="24"/>
          <w:lang w:val="mi-NZ"/>
        </w:rPr>
        <w:t>if micromobility vehicles (including e-scooters) are to be permitted on the shared pathway</w:t>
      </w:r>
      <w:r w:rsidR="00EC5BD6">
        <w:rPr>
          <w:rFonts w:eastAsia="Arial" w:cs="Arial"/>
          <w:color w:val="000000" w:themeColor="text1"/>
          <w:szCs w:val="24"/>
          <w:lang w:val="mi-NZ"/>
        </w:rPr>
        <w:t xml:space="preserve">, they should be required to travel at a very low speed, around 10km/h or less and users should be required </w:t>
      </w:r>
      <w:r w:rsidR="003E17E2">
        <w:rPr>
          <w:rFonts w:eastAsia="Arial" w:cs="Arial"/>
          <w:color w:val="000000" w:themeColor="text1"/>
          <w:szCs w:val="24"/>
          <w:lang w:val="mi-NZ"/>
        </w:rPr>
        <w:t xml:space="preserve">to have regard to </w:t>
      </w:r>
      <w:r w:rsidR="00FF1AE1">
        <w:rPr>
          <w:rFonts w:eastAsia="Arial" w:cs="Arial"/>
          <w:color w:val="000000" w:themeColor="text1"/>
          <w:szCs w:val="24"/>
          <w:lang w:val="mi-NZ"/>
        </w:rPr>
        <w:t>the needs of</w:t>
      </w:r>
      <w:r w:rsidR="003E17E2">
        <w:rPr>
          <w:rFonts w:eastAsia="Arial" w:cs="Arial"/>
          <w:color w:val="000000" w:themeColor="text1"/>
          <w:szCs w:val="24"/>
          <w:lang w:val="mi-NZ"/>
        </w:rPr>
        <w:t xml:space="preserve"> walking/mobilising pedestrians</w:t>
      </w:r>
      <w:r w:rsidR="005121E5">
        <w:rPr>
          <w:rFonts w:eastAsia="Arial" w:cs="Arial"/>
          <w:color w:val="000000" w:themeColor="text1"/>
          <w:szCs w:val="24"/>
          <w:lang w:val="mi-NZ"/>
        </w:rPr>
        <w:t xml:space="preserve"> on the pathway at all times.</w:t>
      </w:r>
    </w:p>
    <w:p w14:paraId="4E937CF6" w14:textId="33C565B4" w:rsidR="005121E5" w:rsidRDefault="000313B1" w:rsidP="48C3D5C5">
      <w:pPr>
        <w:rPr>
          <w:rFonts w:eastAsia="Arial" w:cs="Arial"/>
          <w:color w:val="000000" w:themeColor="text1"/>
          <w:lang w:val="mi-NZ"/>
        </w:rPr>
      </w:pPr>
      <w:r w:rsidRPr="48C3D5C5">
        <w:rPr>
          <w:rFonts w:eastAsia="Arial" w:cs="Arial"/>
          <w:color w:val="000000" w:themeColor="text1"/>
          <w:lang w:val="mi-NZ"/>
        </w:rPr>
        <w:lastRenderedPageBreak/>
        <w:t xml:space="preserve">DPA recommends that </w:t>
      </w:r>
      <w:r w:rsidR="5004A473" w:rsidRPr="48C3D5C5">
        <w:rPr>
          <w:rFonts w:eastAsia="Arial" w:cs="Arial"/>
          <w:lang w:val="mi-NZ"/>
        </w:rPr>
        <w:t>a tactile strip running continuously along the path delineating the fully shared area from the pedestrian only area be installed</w:t>
      </w:r>
      <w:r w:rsidR="00174646" w:rsidRPr="48C3D5C5">
        <w:rPr>
          <w:rFonts w:eastAsia="Arial" w:cs="Arial"/>
          <w:color w:val="000000" w:themeColor="text1"/>
          <w:lang w:val="mi-NZ"/>
        </w:rPr>
        <w:t>.</w:t>
      </w:r>
      <w:r w:rsidR="7FBC3CC8" w:rsidRPr="48C3D5C5">
        <w:rPr>
          <w:rFonts w:eastAsia="Arial" w:cs="Arial"/>
          <w:color w:val="000000" w:themeColor="text1"/>
          <w:lang w:val="mi-NZ"/>
        </w:rPr>
        <w:t xml:space="preserve"> This would ensure the safety of blind and low vision people using the shared path.</w:t>
      </w:r>
    </w:p>
    <w:p w14:paraId="1F7FA1FD" w14:textId="46FEB948" w:rsidR="00174646" w:rsidRDefault="00174646" w:rsidP="79D26171">
      <w:pPr>
        <w:rPr>
          <w:rFonts w:eastAsia="Arial" w:cs="Arial"/>
          <w:color w:val="000000" w:themeColor="text1"/>
          <w:szCs w:val="24"/>
          <w:lang w:val="mi-NZ"/>
        </w:rPr>
      </w:pPr>
      <w:r>
        <w:rPr>
          <w:rFonts w:eastAsia="Arial" w:cs="Arial"/>
          <w:color w:val="000000" w:themeColor="text1"/>
          <w:szCs w:val="24"/>
          <w:lang w:val="mi-NZ"/>
        </w:rPr>
        <w:t xml:space="preserve">Further, DPA </w:t>
      </w:r>
      <w:r w:rsidR="003002CE">
        <w:rPr>
          <w:rFonts w:eastAsia="Arial" w:cs="Arial"/>
          <w:color w:val="000000" w:themeColor="text1"/>
          <w:szCs w:val="24"/>
          <w:lang w:val="mi-NZ"/>
        </w:rPr>
        <w:t>recommends that</w:t>
      </w:r>
      <w:r w:rsidR="00352B6E">
        <w:rPr>
          <w:rFonts w:eastAsia="Arial" w:cs="Arial"/>
          <w:color w:val="000000" w:themeColor="text1"/>
          <w:szCs w:val="24"/>
          <w:lang w:val="mi-NZ"/>
        </w:rPr>
        <w:t>, in partnership with other disability stakeholders,</w:t>
      </w:r>
      <w:r>
        <w:rPr>
          <w:rFonts w:eastAsia="Arial" w:cs="Arial"/>
          <w:color w:val="000000" w:themeColor="text1"/>
          <w:szCs w:val="24"/>
          <w:lang w:val="mi-NZ"/>
        </w:rPr>
        <w:t xml:space="preserve"> </w:t>
      </w:r>
      <w:r w:rsidR="00EA7DC1">
        <w:rPr>
          <w:rFonts w:eastAsia="Arial" w:cs="Arial"/>
          <w:color w:val="000000" w:themeColor="text1"/>
          <w:szCs w:val="24"/>
          <w:lang w:val="mi-NZ"/>
        </w:rPr>
        <w:t xml:space="preserve">we would </w:t>
      </w:r>
      <w:r>
        <w:rPr>
          <w:rFonts w:eastAsia="Arial" w:cs="Arial"/>
          <w:color w:val="000000" w:themeColor="text1"/>
          <w:szCs w:val="24"/>
          <w:lang w:val="mi-NZ"/>
        </w:rPr>
        <w:t>welcome the opportunity to be part of any discussions</w:t>
      </w:r>
      <w:r w:rsidR="00CE14CF">
        <w:rPr>
          <w:rFonts w:eastAsia="Arial" w:cs="Arial"/>
          <w:color w:val="000000" w:themeColor="text1"/>
          <w:szCs w:val="24"/>
          <w:lang w:val="mi-NZ"/>
        </w:rPr>
        <w:t xml:space="preserve"> on the shared pathway </w:t>
      </w:r>
      <w:r w:rsidR="004B2D50">
        <w:rPr>
          <w:rFonts w:eastAsia="Arial" w:cs="Arial"/>
          <w:color w:val="000000" w:themeColor="text1"/>
          <w:szCs w:val="24"/>
          <w:lang w:val="mi-NZ"/>
        </w:rPr>
        <w:t>with council officers and the</w:t>
      </w:r>
      <w:r w:rsidR="00352B6E">
        <w:rPr>
          <w:rFonts w:eastAsia="Arial" w:cs="Arial"/>
          <w:color w:val="000000" w:themeColor="text1"/>
          <w:szCs w:val="24"/>
          <w:lang w:val="mi-NZ"/>
        </w:rPr>
        <w:t xml:space="preserve"> </w:t>
      </w:r>
      <w:r w:rsidR="00352B6E" w:rsidRPr="79D26171">
        <w:rPr>
          <w:rStyle w:val="normaltextrun"/>
          <w:rFonts w:eastAsia="Arial" w:cs="Arial"/>
          <w:szCs w:val="24"/>
        </w:rPr>
        <w:t xml:space="preserve">Henderson-Massey &amp; </w:t>
      </w:r>
      <w:r w:rsidR="00352B6E" w:rsidRPr="79D26171">
        <w:rPr>
          <w:rFonts w:eastAsia="Arial" w:cs="Arial"/>
          <w:szCs w:val="24"/>
        </w:rPr>
        <w:t>Waitākere Ranges Local Boards</w:t>
      </w:r>
      <w:r w:rsidR="003002CE">
        <w:rPr>
          <w:rFonts w:eastAsia="Arial" w:cs="Arial"/>
          <w:color w:val="000000" w:themeColor="text1"/>
          <w:szCs w:val="24"/>
          <w:lang w:val="mi-NZ"/>
        </w:rPr>
        <w:t>.</w:t>
      </w:r>
    </w:p>
    <w:p w14:paraId="3D5B5AAC" w14:textId="42C25105" w:rsidR="003E3C38" w:rsidRDefault="003E3C38" w:rsidP="00236CC1">
      <w:pPr>
        <w:pStyle w:val="Heading1"/>
        <w:rPr>
          <w:rFonts w:ascii="Arial" w:eastAsia="Arial" w:hAnsi="Arial"/>
        </w:rPr>
      </w:pPr>
      <w:r w:rsidRPr="6B328A4F">
        <w:rPr>
          <w:rFonts w:ascii="Arial" w:eastAsia="Arial" w:hAnsi="Arial"/>
        </w:rPr>
        <w:t>DPA’s recommendations</w:t>
      </w:r>
    </w:p>
    <w:p w14:paraId="74B24642" w14:textId="12573F33" w:rsidR="003E3C38" w:rsidRDefault="004D53A5" w:rsidP="003E3C38">
      <w:pPr>
        <w:rPr>
          <w:rFonts w:cs="Arial"/>
        </w:rPr>
      </w:pPr>
      <w:r w:rsidRPr="6B328A4F">
        <w:rPr>
          <w:rFonts w:cs="Arial"/>
        </w:rPr>
        <w:t>The Disabled Person’s Assembly recommends</w:t>
      </w:r>
      <w:r w:rsidR="00193F86" w:rsidRPr="6B328A4F">
        <w:rPr>
          <w:rFonts w:cs="Arial"/>
        </w:rPr>
        <w:t>:</w:t>
      </w:r>
    </w:p>
    <w:p w14:paraId="6FF9E3C3" w14:textId="02101FBA" w:rsidR="00193F86" w:rsidRPr="0025437B" w:rsidRDefault="00496A4F" w:rsidP="00193F86">
      <w:pPr>
        <w:pStyle w:val="ListParagraph"/>
        <w:numPr>
          <w:ilvl w:val="0"/>
          <w:numId w:val="20"/>
        </w:numPr>
        <w:rPr>
          <w:rFonts w:cs="Arial"/>
          <w:b/>
          <w:bCs/>
        </w:rPr>
      </w:pPr>
      <w:r w:rsidRPr="0025437B">
        <w:rPr>
          <w:rFonts w:cs="Arial"/>
          <w:b/>
          <w:bCs/>
        </w:rPr>
        <w:t>Recommendation</w:t>
      </w:r>
      <w:r w:rsidR="00241BF5" w:rsidRPr="0025437B">
        <w:rPr>
          <w:rFonts w:cs="Arial"/>
          <w:b/>
          <w:bCs/>
        </w:rPr>
        <w:t xml:space="preserve"> 1:</w:t>
      </w:r>
      <w:r w:rsidR="00035260">
        <w:rPr>
          <w:rFonts w:cs="Arial"/>
          <w:b/>
          <w:bCs/>
        </w:rPr>
        <w:t xml:space="preserve"> </w:t>
      </w:r>
      <w:r w:rsidR="00035260">
        <w:rPr>
          <w:rFonts w:eastAsia="Arial" w:cs="Arial"/>
          <w:color w:val="000000" w:themeColor="text1"/>
          <w:szCs w:val="24"/>
          <w:lang w:val="mi-NZ"/>
        </w:rPr>
        <w:t>That Option A presents</w:t>
      </w:r>
      <w:r w:rsidR="00035260" w:rsidRPr="79D26171">
        <w:rPr>
          <w:rFonts w:eastAsia="Arial" w:cs="Arial"/>
          <w:color w:val="000000" w:themeColor="text1"/>
          <w:szCs w:val="24"/>
          <w:lang w:val="mi-NZ"/>
        </w:rPr>
        <w:t xml:space="preserve"> the best pathway option. We see that it has many positives including </w:t>
      </w:r>
      <w:r w:rsidR="00035260">
        <w:rPr>
          <w:rFonts w:eastAsia="Arial" w:cs="Arial"/>
          <w:color w:val="000000" w:themeColor="text1"/>
          <w:szCs w:val="24"/>
          <w:lang w:val="mi-NZ"/>
        </w:rPr>
        <w:t>it being widened by at least two metres which will benefit many pedestrians, especially disabled people who use mobility devices including wheelchairs, mobility scooters, and walking aids.</w:t>
      </w:r>
    </w:p>
    <w:p w14:paraId="7709B76F" w14:textId="058E7B32" w:rsidR="00496A4F" w:rsidRPr="00292FDE" w:rsidRDefault="00496A4F" w:rsidP="00292FDE">
      <w:pPr>
        <w:pStyle w:val="ListParagraph"/>
        <w:numPr>
          <w:ilvl w:val="0"/>
          <w:numId w:val="20"/>
        </w:numPr>
        <w:rPr>
          <w:rFonts w:eastAsia="Arial" w:cs="Arial"/>
          <w:color w:val="000000" w:themeColor="text1"/>
          <w:szCs w:val="24"/>
          <w:lang w:val="mi-NZ"/>
        </w:rPr>
      </w:pPr>
      <w:r w:rsidRPr="00292FDE">
        <w:rPr>
          <w:rFonts w:cs="Arial"/>
          <w:b/>
          <w:bCs/>
        </w:rPr>
        <w:t>Recommendation</w:t>
      </w:r>
      <w:r w:rsidR="00241BF5" w:rsidRPr="00292FDE">
        <w:rPr>
          <w:rFonts w:cs="Arial"/>
          <w:b/>
          <w:bCs/>
        </w:rPr>
        <w:t xml:space="preserve"> 2:</w:t>
      </w:r>
      <w:r w:rsidR="00035260" w:rsidRPr="00292FDE">
        <w:rPr>
          <w:rFonts w:cs="Arial"/>
          <w:b/>
          <w:bCs/>
        </w:rPr>
        <w:t xml:space="preserve"> </w:t>
      </w:r>
      <w:r w:rsidR="00292FDE">
        <w:rPr>
          <w:rFonts w:eastAsia="Arial" w:cs="Arial"/>
          <w:color w:val="000000" w:themeColor="text1"/>
          <w:szCs w:val="24"/>
          <w:lang w:val="mi-NZ"/>
        </w:rPr>
        <w:t>That</w:t>
      </w:r>
      <w:r w:rsidR="00292FDE" w:rsidRPr="00292FDE">
        <w:rPr>
          <w:rFonts w:eastAsia="Arial" w:cs="Arial"/>
          <w:color w:val="000000" w:themeColor="text1"/>
          <w:szCs w:val="24"/>
          <w:lang w:val="mi-NZ"/>
        </w:rPr>
        <w:t xml:space="preserve"> appropriate, accessible signage be placed along the walkway indicating the need for both pedestrians and cyclists utilising the shared space to look out for</w:t>
      </w:r>
      <w:r w:rsidR="00D66A19">
        <w:rPr>
          <w:rFonts w:eastAsia="Arial" w:cs="Arial"/>
          <w:color w:val="000000" w:themeColor="text1"/>
          <w:szCs w:val="24"/>
          <w:lang w:val="mi-NZ"/>
        </w:rPr>
        <w:t xml:space="preserve"> and be respectful of</w:t>
      </w:r>
      <w:r w:rsidR="00292FDE" w:rsidRPr="00292FDE">
        <w:rPr>
          <w:rFonts w:eastAsia="Arial" w:cs="Arial"/>
          <w:color w:val="000000" w:themeColor="text1"/>
          <w:szCs w:val="24"/>
          <w:lang w:val="mi-NZ"/>
        </w:rPr>
        <w:t xml:space="preserve"> one another.</w:t>
      </w:r>
    </w:p>
    <w:p w14:paraId="4DDCD890" w14:textId="77777777" w:rsidR="00344F38" w:rsidRPr="00344F38" w:rsidRDefault="00496A4F" w:rsidP="00344F38">
      <w:pPr>
        <w:pStyle w:val="ListParagraph"/>
        <w:numPr>
          <w:ilvl w:val="0"/>
          <w:numId w:val="20"/>
        </w:numPr>
        <w:rPr>
          <w:rFonts w:cs="Arial"/>
          <w:b/>
          <w:bCs/>
        </w:rPr>
      </w:pPr>
      <w:r w:rsidRPr="0025437B">
        <w:rPr>
          <w:rFonts w:cs="Arial"/>
          <w:b/>
          <w:bCs/>
        </w:rPr>
        <w:t>Recommendation</w:t>
      </w:r>
      <w:r w:rsidR="00241BF5" w:rsidRPr="0025437B">
        <w:rPr>
          <w:rFonts w:cs="Arial"/>
          <w:b/>
          <w:bCs/>
        </w:rPr>
        <w:t xml:space="preserve"> 3:</w:t>
      </w:r>
      <w:r w:rsidR="00292FDE">
        <w:rPr>
          <w:rFonts w:cs="Arial"/>
          <w:b/>
          <w:bCs/>
        </w:rPr>
        <w:t xml:space="preserve"> </w:t>
      </w:r>
      <w:r w:rsidR="00344F38">
        <w:rPr>
          <w:rFonts w:eastAsia="Arial" w:cs="Arial"/>
          <w:color w:val="000000" w:themeColor="text1"/>
          <w:szCs w:val="24"/>
          <w:lang w:val="mi-NZ"/>
        </w:rPr>
        <w:t xml:space="preserve">That </w:t>
      </w:r>
      <w:r w:rsidR="003920D7">
        <w:rPr>
          <w:rFonts w:eastAsia="Arial" w:cs="Arial"/>
          <w:color w:val="000000" w:themeColor="text1"/>
          <w:szCs w:val="24"/>
          <w:lang w:val="mi-NZ"/>
        </w:rPr>
        <w:t>if micromobility vehicles (including e-scooters) are to be permitted on the shared pathway, they should be required to travel at a very low speed, around 10km/h or less and users should be required to have regard to the needs of walking/mobilising pedestrians on the pathway at all times.</w:t>
      </w:r>
    </w:p>
    <w:p w14:paraId="2191EF51" w14:textId="21ACA13F" w:rsidR="00462860" w:rsidRDefault="00344F38" w:rsidP="009D4DE5">
      <w:pPr>
        <w:pStyle w:val="ListParagraph"/>
        <w:numPr>
          <w:ilvl w:val="0"/>
          <w:numId w:val="20"/>
        </w:numPr>
        <w:rPr>
          <w:rFonts w:cs="Arial"/>
          <w:b/>
          <w:bCs/>
        </w:rPr>
      </w:pPr>
      <w:r w:rsidRPr="00462860">
        <w:rPr>
          <w:rFonts w:cs="Arial"/>
          <w:b/>
          <w:bCs/>
        </w:rPr>
        <w:t xml:space="preserve">Recommendation 4: </w:t>
      </w:r>
      <w:r w:rsidR="0064215A">
        <w:rPr>
          <w:rFonts w:eastAsia="Arial" w:cs="Arial"/>
          <w:color w:val="000000" w:themeColor="text1"/>
          <w:szCs w:val="24"/>
          <w:lang w:val="mi-NZ"/>
        </w:rPr>
        <w:t>T</w:t>
      </w:r>
      <w:r w:rsidR="0064215A" w:rsidRPr="4DF081CB">
        <w:rPr>
          <w:rFonts w:eastAsia="Arial" w:cs="Arial"/>
          <w:color w:val="000000" w:themeColor="text1"/>
          <w:szCs w:val="24"/>
          <w:lang w:val="mi-NZ"/>
        </w:rPr>
        <w:t xml:space="preserve">hat </w:t>
      </w:r>
      <w:r w:rsidR="0064215A" w:rsidRPr="4DF081CB">
        <w:rPr>
          <w:rFonts w:eastAsia="Arial" w:cs="Arial"/>
          <w:szCs w:val="24"/>
          <w:lang w:val="mi-NZ"/>
        </w:rPr>
        <w:t>a tactile strip running continuously along the path delineating the fully shared area from the pedestrian only area be installed</w:t>
      </w:r>
    </w:p>
    <w:p w14:paraId="0D242983" w14:textId="75D25849" w:rsidR="00344F38" w:rsidRPr="00462860" w:rsidRDefault="00973884" w:rsidP="009D4DE5">
      <w:pPr>
        <w:pStyle w:val="ListParagraph"/>
        <w:numPr>
          <w:ilvl w:val="0"/>
          <w:numId w:val="20"/>
        </w:numPr>
        <w:rPr>
          <w:rFonts w:cs="Arial"/>
          <w:b/>
          <w:bCs/>
        </w:rPr>
      </w:pPr>
      <w:r w:rsidRPr="00462860">
        <w:rPr>
          <w:rFonts w:cs="Arial"/>
          <w:b/>
          <w:bCs/>
        </w:rPr>
        <w:t xml:space="preserve">Recommendation 5: </w:t>
      </w:r>
      <w:r w:rsidRPr="00462860">
        <w:rPr>
          <w:rFonts w:eastAsia="Arial" w:cs="Arial"/>
          <w:color w:val="000000" w:themeColor="text1"/>
          <w:szCs w:val="24"/>
          <w:lang w:val="mi-NZ"/>
        </w:rPr>
        <w:t xml:space="preserve">That in partnership with other disability stakeholders, DPA would </w:t>
      </w:r>
      <w:r w:rsidR="00C52E9D" w:rsidRPr="00462860">
        <w:rPr>
          <w:rFonts w:eastAsia="Arial" w:cs="Arial"/>
          <w:color w:val="000000" w:themeColor="text1"/>
          <w:szCs w:val="24"/>
          <w:lang w:val="mi-NZ"/>
        </w:rPr>
        <w:t xml:space="preserve">welcome </w:t>
      </w:r>
      <w:r w:rsidRPr="00462860">
        <w:rPr>
          <w:rFonts w:eastAsia="Arial" w:cs="Arial"/>
          <w:color w:val="000000" w:themeColor="text1"/>
          <w:szCs w:val="24"/>
          <w:lang w:val="mi-NZ"/>
        </w:rPr>
        <w:t xml:space="preserve">the opportunity to be part of any discussions on the shared pathway with council officers and the </w:t>
      </w:r>
      <w:r w:rsidRPr="00462860">
        <w:rPr>
          <w:rStyle w:val="normaltextrun"/>
          <w:rFonts w:eastAsia="Arial" w:cs="Arial"/>
          <w:szCs w:val="24"/>
        </w:rPr>
        <w:t xml:space="preserve">Henderson-Massey &amp; </w:t>
      </w:r>
      <w:r w:rsidRPr="00462860">
        <w:rPr>
          <w:rFonts w:eastAsia="Arial" w:cs="Arial"/>
          <w:szCs w:val="24"/>
        </w:rPr>
        <w:t>Waitākere Ranges Local Boards</w:t>
      </w:r>
      <w:r w:rsidRPr="00462860">
        <w:rPr>
          <w:rFonts w:eastAsia="Arial" w:cs="Arial"/>
          <w:color w:val="000000" w:themeColor="text1"/>
          <w:szCs w:val="24"/>
          <w:lang w:val="mi-NZ"/>
        </w:rPr>
        <w:t>.</w:t>
      </w:r>
    </w:p>
    <w:p w14:paraId="4B93C600" w14:textId="77777777" w:rsidR="00F90077" w:rsidRPr="00F90077" w:rsidRDefault="00F90077" w:rsidP="003E3C38">
      <w:pPr>
        <w:rPr>
          <w:rFonts w:cs="Arial"/>
        </w:rPr>
      </w:pPr>
    </w:p>
    <w:sectPr w:rsidR="00F90077" w:rsidRPr="00F90077" w:rsidSect="00634AE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01F0" w14:textId="77777777" w:rsidR="00136BA7" w:rsidRDefault="00136BA7" w:rsidP="00634AEC">
      <w:pPr>
        <w:spacing w:after="0" w:line="240" w:lineRule="auto"/>
      </w:pPr>
      <w:r>
        <w:separator/>
      </w:r>
    </w:p>
  </w:endnote>
  <w:endnote w:type="continuationSeparator" w:id="0">
    <w:p w14:paraId="68BD4B91" w14:textId="77777777" w:rsidR="00136BA7" w:rsidRDefault="00136BA7" w:rsidP="00634AEC">
      <w:pPr>
        <w:spacing w:after="0" w:line="240" w:lineRule="auto"/>
      </w:pPr>
      <w:r>
        <w:continuationSeparator/>
      </w:r>
    </w:p>
  </w:endnote>
  <w:endnote w:type="continuationNotice" w:id="1">
    <w:p w14:paraId="0DE8DB20" w14:textId="77777777" w:rsidR="00136BA7" w:rsidRDefault="00136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E6AE" w14:textId="77777777" w:rsidR="00953608" w:rsidRDefault="0095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D9E1" w14:textId="77777777" w:rsidR="00634AEC" w:rsidRDefault="00634AEC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1" behindDoc="0" locked="1" layoutInCell="1" allowOverlap="0" wp14:anchorId="0F2BB3AF" wp14:editId="0E038F9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6500" cy="1044575"/>
          <wp:effectExtent l="0" t="0" r="6350" b="3175"/>
          <wp:wrapNone/>
          <wp:docPr id="6" name="Picture 4" descr="Level 4, 173-175 Victoria Street. PO Box 27524, Wellington, 6011, NZ. dpa.org.n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Foot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445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50D8" w14:textId="77777777" w:rsidR="00136BA7" w:rsidRDefault="00136BA7" w:rsidP="00634AEC">
      <w:pPr>
        <w:spacing w:after="0" w:line="240" w:lineRule="auto"/>
      </w:pPr>
      <w:r>
        <w:separator/>
      </w:r>
    </w:p>
  </w:footnote>
  <w:footnote w:type="continuationSeparator" w:id="0">
    <w:p w14:paraId="648EE619" w14:textId="77777777" w:rsidR="00136BA7" w:rsidRDefault="00136BA7" w:rsidP="00634AEC">
      <w:pPr>
        <w:spacing w:after="0" w:line="240" w:lineRule="auto"/>
      </w:pPr>
      <w:r>
        <w:continuationSeparator/>
      </w:r>
    </w:p>
  </w:footnote>
  <w:footnote w:type="continuationNotice" w:id="1">
    <w:p w14:paraId="74FBBB13" w14:textId="77777777" w:rsidR="00136BA7" w:rsidRDefault="00136B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313" w14:textId="77777777" w:rsidR="00953608" w:rsidRDefault="00953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EC6D" w14:textId="77777777" w:rsidR="00953608" w:rsidRDefault="00953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4A48" w14:textId="77777777" w:rsidR="00634AEC" w:rsidRDefault="00634AEC">
    <w:pPr>
      <w:pStyle w:val="Header"/>
    </w:pPr>
    <w:r>
      <w:rPr>
        <w:noProof/>
        <w:lang w:eastAsia="en-NZ"/>
      </w:rPr>
      <w:drawing>
        <wp:anchor distT="0" distB="540385" distL="114300" distR="114300" simplePos="0" relativeHeight="251658240" behindDoc="0" locked="1" layoutInCell="1" allowOverlap="0" wp14:anchorId="4A7EBB8C" wp14:editId="0EF00537">
          <wp:simplePos x="0" y="0"/>
          <wp:positionH relativeFrom="margin">
            <wp:align>center</wp:align>
          </wp:positionH>
          <wp:positionV relativeFrom="page">
            <wp:posOffset>314325</wp:posOffset>
          </wp:positionV>
          <wp:extent cx="6289675" cy="1947545"/>
          <wp:effectExtent l="0" t="0" r="0" b="0"/>
          <wp:wrapSquare wrapText="bothSides"/>
          <wp:docPr id="5" name="Picture 3" descr="A logo which says &quot;Disabled Persons Assembly NZ&quot;, and next to it is a stylised image which says &quot;A whole new attitud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Head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675" cy="19475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7.5pt;height:26.25pt" o:bullet="t">
        <v:imagedata r:id="rId1" o:title="art1C51"/>
      </v:shape>
    </w:pict>
  </w:numPicBullet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F022"/>
    <w:multiLevelType w:val="hybridMultilevel"/>
    <w:tmpl w:val="859A0264"/>
    <w:lvl w:ilvl="0" w:tplc="F5069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3C2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03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E1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8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08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A9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AD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2E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4562"/>
    <w:multiLevelType w:val="hybridMultilevel"/>
    <w:tmpl w:val="891C8526"/>
    <w:lvl w:ilvl="0" w:tplc="80721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48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4A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6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A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09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03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C5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08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4AAE"/>
    <w:multiLevelType w:val="hybridMultilevel"/>
    <w:tmpl w:val="BD2CB3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267A9"/>
    <w:multiLevelType w:val="hybridMultilevel"/>
    <w:tmpl w:val="3080129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EF8E6"/>
    <w:multiLevelType w:val="hybridMultilevel"/>
    <w:tmpl w:val="143EFD66"/>
    <w:lvl w:ilvl="0" w:tplc="CC3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47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8B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8F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E3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F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8B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C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0F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53966"/>
    <w:multiLevelType w:val="hybridMultilevel"/>
    <w:tmpl w:val="DB2A5FAA"/>
    <w:lvl w:ilvl="0" w:tplc="9B8E3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02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AC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0D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2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21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A4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E9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2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79898">
    <w:abstractNumId w:val="1"/>
  </w:num>
  <w:num w:numId="2" w16cid:durableId="1718580277">
    <w:abstractNumId w:val="5"/>
  </w:num>
  <w:num w:numId="3" w16cid:durableId="977537687">
    <w:abstractNumId w:val="15"/>
  </w:num>
  <w:num w:numId="4" w16cid:durableId="116679001">
    <w:abstractNumId w:val="18"/>
  </w:num>
  <w:num w:numId="5" w16cid:durableId="1656757962">
    <w:abstractNumId w:val="2"/>
  </w:num>
  <w:num w:numId="6" w16cid:durableId="1171144374">
    <w:abstractNumId w:val="8"/>
  </w:num>
  <w:num w:numId="7" w16cid:durableId="1426805703">
    <w:abstractNumId w:val="10"/>
  </w:num>
  <w:num w:numId="8" w16cid:durableId="59254097">
    <w:abstractNumId w:val="3"/>
  </w:num>
  <w:num w:numId="9" w16cid:durableId="1441729030">
    <w:abstractNumId w:val="19"/>
  </w:num>
  <w:num w:numId="10" w16cid:durableId="5177819">
    <w:abstractNumId w:val="4"/>
  </w:num>
  <w:num w:numId="11" w16cid:durableId="450174864">
    <w:abstractNumId w:val="12"/>
  </w:num>
  <w:num w:numId="12" w16cid:durableId="1973561893">
    <w:abstractNumId w:val="13"/>
  </w:num>
  <w:num w:numId="13" w16cid:durableId="1587567856">
    <w:abstractNumId w:val="11"/>
  </w:num>
  <w:num w:numId="14" w16cid:durableId="1868595034">
    <w:abstractNumId w:val="17"/>
  </w:num>
  <w:num w:numId="15" w16cid:durableId="1854569592">
    <w:abstractNumId w:val="16"/>
  </w:num>
  <w:num w:numId="16" w16cid:durableId="585264062">
    <w:abstractNumId w:val="0"/>
  </w:num>
  <w:num w:numId="17" w16cid:durableId="1168250095">
    <w:abstractNumId w:val="14"/>
  </w:num>
  <w:num w:numId="18" w16cid:durableId="521404635">
    <w:abstractNumId w:val="9"/>
  </w:num>
  <w:num w:numId="19" w16cid:durableId="1731613462">
    <w:abstractNumId w:val="7"/>
  </w:num>
  <w:num w:numId="20" w16cid:durableId="1486125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13645"/>
    <w:rsid w:val="000230E8"/>
    <w:rsid w:val="000313B1"/>
    <w:rsid w:val="00034E1F"/>
    <w:rsid w:val="00035260"/>
    <w:rsid w:val="00036320"/>
    <w:rsid w:val="00041E14"/>
    <w:rsid w:val="00044552"/>
    <w:rsid w:val="000533B3"/>
    <w:rsid w:val="00087193"/>
    <w:rsid w:val="000A1391"/>
    <w:rsid w:val="000A33E1"/>
    <w:rsid w:val="000B1D28"/>
    <w:rsid w:val="000C2A3A"/>
    <w:rsid w:val="000C2C68"/>
    <w:rsid w:val="000D2167"/>
    <w:rsid w:val="000F28B6"/>
    <w:rsid w:val="000F41C5"/>
    <w:rsid w:val="00107484"/>
    <w:rsid w:val="00133092"/>
    <w:rsid w:val="00136BA7"/>
    <w:rsid w:val="001507EC"/>
    <w:rsid w:val="0016572E"/>
    <w:rsid w:val="001718F7"/>
    <w:rsid w:val="00174646"/>
    <w:rsid w:val="00193F86"/>
    <w:rsid w:val="0019543F"/>
    <w:rsid w:val="001A3927"/>
    <w:rsid w:val="001A63C9"/>
    <w:rsid w:val="001B734D"/>
    <w:rsid w:val="001C0434"/>
    <w:rsid w:val="001D23FD"/>
    <w:rsid w:val="001D29F1"/>
    <w:rsid w:val="001E1F37"/>
    <w:rsid w:val="001E4943"/>
    <w:rsid w:val="00213391"/>
    <w:rsid w:val="00236CC1"/>
    <w:rsid w:val="00241BF5"/>
    <w:rsid w:val="00252A79"/>
    <w:rsid w:val="0025437B"/>
    <w:rsid w:val="00255576"/>
    <w:rsid w:val="002620B5"/>
    <w:rsid w:val="00267961"/>
    <w:rsid w:val="00292FDE"/>
    <w:rsid w:val="002A407C"/>
    <w:rsid w:val="002A485E"/>
    <w:rsid w:val="002A624A"/>
    <w:rsid w:val="002B0D02"/>
    <w:rsid w:val="002C0869"/>
    <w:rsid w:val="002C6042"/>
    <w:rsid w:val="002E0071"/>
    <w:rsid w:val="003002CE"/>
    <w:rsid w:val="00344F38"/>
    <w:rsid w:val="00352B6E"/>
    <w:rsid w:val="003578C5"/>
    <w:rsid w:val="00360E9C"/>
    <w:rsid w:val="00362696"/>
    <w:rsid w:val="00371DAA"/>
    <w:rsid w:val="00373682"/>
    <w:rsid w:val="00376117"/>
    <w:rsid w:val="0039004F"/>
    <w:rsid w:val="003920D7"/>
    <w:rsid w:val="003B0C58"/>
    <w:rsid w:val="003B154D"/>
    <w:rsid w:val="003B3DF5"/>
    <w:rsid w:val="003B57A0"/>
    <w:rsid w:val="003B652B"/>
    <w:rsid w:val="003C0749"/>
    <w:rsid w:val="003E17E2"/>
    <w:rsid w:val="003E3C38"/>
    <w:rsid w:val="003F2334"/>
    <w:rsid w:val="0041076C"/>
    <w:rsid w:val="00412627"/>
    <w:rsid w:val="00422A0D"/>
    <w:rsid w:val="004600A7"/>
    <w:rsid w:val="00462860"/>
    <w:rsid w:val="00480DBA"/>
    <w:rsid w:val="00496A4F"/>
    <w:rsid w:val="004A0B5F"/>
    <w:rsid w:val="004A5569"/>
    <w:rsid w:val="004B2D50"/>
    <w:rsid w:val="004B588A"/>
    <w:rsid w:val="004D53A5"/>
    <w:rsid w:val="005121E5"/>
    <w:rsid w:val="005174CE"/>
    <w:rsid w:val="005244AE"/>
    <w:rsid w:val="005255B7"/>
    <w:rsid w:val="00534749"/>
    <w:rsid w:val="00547874"/>
    <w:rsid w:val="00562E74"/>
    <w:rsid w:val="005845DA"/>
    <w:rsid w:val="00586EE7"/>
    <w:rsid w:val="00587C7D"/>
    <w:rsid w:val="005C2088"/>
    <w:rsid w:val="005D1EEF"/>
    <w:rsid w:val="005E095C"/>
    <w:rsid w:val="00612023"/>
    <w:rsid w:val="00613A4E"/>
    <w:rsid w:val="00617B71"/>
    <w:rsid w:val="00626DE9"/>
    <w:rsid w:val="00634AEC"/>
    <w:rsid w:val="0064215A"/>
    <w:rsid w:val="0065604C"/>
    <w:rsid w:val="00670B18"/>
    <w:rsid w:val="006B5018"/>
    <w:rsid w:val="006D416F"/>
    <w:rsid w:val="006E413E"/>
    <w:rsid w:val="00700885"/>
    <w:rsid w:val="007247B9"/>
    <w:rsid w:val="007524A6"/>
    <w:rsid w:val="00760684"/>
    <w:rsid w:val="00771A3C"/>
    <w:rsid w:val="00775532"/>
    <w:rsid w:val="007800D4"/>
    <w:rsid w:val="007922B1"/>
    <w:rsid w:val="00795598"/>
    <w:rsid w:val="007A5D60"/>
    <w:rsid w:val="007B4A88"/>
    <w:rsid w:val="007B5994"/>
    <w:rsid w:val="007C55AE"/>
    <w:rsid w:val="007C7F61"/>
    <w:rsid w:val="007F7C96"/>
    <w:rsid w:val="00832EF2"/>
    <w:rsid w:val="008443CB"/>
    <w:rsid w:val="00851ABD"/>
    <w:rsid w:val="008807C7"/>
    <w:rsid w:val="008C3BEF"/>
    <w:rsid w:val="008E27E2"/>
    <w:rsid w:val="008E541D"/>
    <w:rsid w:val="00902171"/>
    <w:rsid w:val="009140EA"/>
    <w:rsid w:val="00921D00"/>
    <w:rsid w:val="009514A6"/>
    <w:rsid w:val="00953608"/>
    <w:rsid w:val="00967093"/>
    <w:rsid w:val="00973884"/>
    <w:rsid w:val="00980ACE"/>
    <w:rsid w:val="0098203B"/>
    <w:rsid w:val="009923BC"/>
    <w:rsid w:val="009A1612"/>
    <w:rsid w:val="009B6EE7"/>
    <w:rsid w:val="009C25EE"/>
    <w:rsid w:val="009F43CD"/>
    <w:rsid w:val="00A12510"/>
    <w:rsid w:val="00A15F64"/>
    <w:rsid w:val="00A2709C"/>
    <w:rsid w:val="00A272AB"/>
    <w:rsid w:val="00A378EA"/>
    <w:rsid w:val="00A56F67"/>
    <w:rsid w:val="00A571FD"/>
    <w:rsid w:val="00A67D69"/>
    <w:rsid w:val="00A76CE2"/>
    <w:rsid w:val="00A77DD5"/>
    <w:rsid w:val="00AA4290"/>
    <w:rsid w:val="00AA7CBB"/>
    <w:rsid w:val="00AF09E4"/>
    <w:rsid w:val="00B00392"/>
    <w:rsid w:val="00B7383C"/>
    <w:rsid w:val="00B819EB"/>
    <w:rsid w:val="00B850AC"/>
    <w:rsid w:val="00B9746B"/>
    <w:rsid w:val="00BB1014"/>
    <w:rsid w:val="00BF7175"/>
    <w:rsid w:val="00C23CCD"/>
    <w:rsid w:val="00C3131E"/>
    <w:rsid w:val="00C40003"/>
    <w:rsid w:val="00C421EB"/>
    <w:rsid w:val="00C473F0"/>
    <w:rsid w:val="00C52E9D"/>
    <w:rsid w:val="00C5373A"/>
    <w:rsid w:val="00C92B04"/>
    <w:rsid w:val="00CC35FF"/>
    <w:rsid w:val="00CD1230"/>
    <w:rsid w:val="00CD4578"/>
    <w:rsid w:val="00CE14CF"/>
    <w:rsid w:val="00CF3516"/>
    <w:rsid w:val="00D0678F"/>
    <w:rsid w:val="00D11BCC"/>
    <w:rsid w:val="00D2076D"/>
    <w:rsid w:val="00D230E4"/>
    <w:rsid w:val="00D26396"/>
    <w:rsid w:val="00D44635"/>
    <w:rsid w:val="00D451C5"/>
    <w:rsid w:val="00D452A4"/>
    <w:rsid w:val="00D6214D"/>
    <w:rsid w:val="00D66A19"/>
    <w:rsid w:val="00D932A0"/>
    <w:rsid w:val="00DC5D37"/>
    <w:rsid w:val="00DE0F54"/>
    <w:rsid w:val="00E01BE4"/>
    <w:rsid w:val="00E0554B"/>
    <w:rsid w:val="00E13065"/>
    <w:rsid w:val="00E20BE4"/>
    <w:rsid w:val="00E21360"/>
    <w:rsid w:val="00E40BCA"/>
    <w:rsid w:val="00E47BC9"/>
    <w:rsid w:val="00E53192"/>
    <w:rsid w:val="00E5783A"/>
    <w:rsid w:val="00E65567"/>
    <w:rsid w:val="00E6772D"/>
    <w:rsid w:val="00E70E28"/>
    <w:rsid w:val="00E74B15"/>
    <w:rsid w:val="00E9298B"/>
    <w:rsid w:val="00E9352A"/>
    <w:rsid w:val="00EA7AD5"/>
    <w:rsid w:val="00EA7DC1"/>
    <w:rsid w:val="00EB17E7"/>
    <w:rsid w:val="00EC5BD6"/>
    <w:rsid w:val="00EC6AD9"/>
    <w:rsid w:val="00EC7407"/>
    <w:rsid w:val="00EE2B63"/>
    <w:rsid w:val="00EF265E"/>
    <w:rsid w:val="00EF2AA3"/>
    <w:rsid w:val="00EF44E1"/>
    <w:rsid w:val="00F03220"/>
    <w:rsid w:val="00F228DC"/>
    <w:rsid w:val="00F617B4"/>
    <w:rsid w:val="00F90077"/>
    <w:rsid w:val="00F9028A"/>
    <w:rsid w:val="00F90886"/>
    <w:rsid w:val="00F96599"/>
    <w:rsid w:val="00FA1FCA"/>
    <w:rsid w:val="00FB1A25"/>
    <w:rsid w:val="00FC1B9F"/>
    <w:rsid w:val="00FE0126"/>
    <w:rsid w:val="00FF1AE1"/>
    <w:rsid w:val="02928A34"/>
    <w:rsid w:val="02BF7A24"/>
    <w:rsid w:val="041835AB"/>
    <w:rsid w:val="04204907"/>
    <w:rsid w:val="04516F78"/>
    <w:rsid w:val="070FA104"/>
    <w:rsid w:val="08150FB8"/>
    <w:rsid w:val="0BED68D5"/>
    <w:rsid w:val="0D5A1F5D"/>
    <w:rsid w:val="12468D3F"/>
    <w:rsid w:val="137D0EA4"/>
    <w:rsid w:val="1548B0C7"/>
    <w:rsid w:val="15AA43DE"/>
    <w:rsid w:val="16152C36"/>
    <w:rsid w:val="19F28A18"/>
    <w:rsid w:val="1AD9B0AF"/>
    <w:rsid w:val="1CCD9654"/>
    <w:rsid w:val="1D3FE16A"/>
    <w:rsid w:val="1ECC7D34"/>
    <w:rsid w:val="1EF228EC"/>
    <w:rsid w:val="1EF84BC6"/>
    <w:rsid w:val="2386C5FA"/>
    <w:rsid w:val="244FE94B"/>
    <w:rsid w:val="2628FFB2"/>
    <w:rsid w:val="267ADC82"/>
    <w:rsid w:val="29CE15CD"/>
    <w:rsid w:val="29DA147F"/>
    <w:rsid w:val="29F8EBF0"/>
    <w:rsid w:val="2AD16965"/>
    <w:rsid w:val="2D44444D"/>
    <w:rsid w:val="2D7A8CB5"/>
    <w:rsid w:val="2D98A62B"/>
    <w:rsid w:val="2E5214DD"/>
    <w:rsid w:val="30AC6835"/>
    <w:rsid w:val="30B22D77"/>
    <w:rsid w:val="34E038C9"/>
    <w:rsid w:val="359B0488"/>
    <w:rsid w:val="35F8F106"/>
    <w:rsid w:val="370D21B6"/>
    <w:rsid w:val="381F145E"/>
    <w:rsid w:val="38226817"/>
    <w:rsid w:val="3B1DF8C8"/>
    <w:rsid w:val="3B1E709F"/>
    <w:rsid w:val="3BD59E7B"/>
    <w:rsid w:val="3C254DD5"/>
    <w:rsid w:val="3FB557B5"/>
    <w:rsid w:val="44DA2B67"/>
    <w:rsid w:val="44DA8C99"/>
    <w:rsid w:val="48C3D5C5"/>
    <w:rsid w:val="4B49CE1D"/>
    <w:rsid w:val="4D228A21"/>
    <w:rsid w:val="4DF081CB"/>
    <w:rsid w:val="4FCF2E7C"/>
    <w:rsid w:val="5004A473"/>
    <w:rsid w:val="514551FD"/>
    <w:rsid w:val="5181EB88"/>
    <w:rsid w:val="523AB646"/>
    <w:rsid w:val="530FE913"/>
    <w:rsid w:val="54ABB974"/>
    <w:rsid w:val="55AF52B2"/>
    <w:rsid w:val="55ED78BC"/>
    <w:rsid w:val="577EF775"/>
    <w:rsid w:val="577F7402"/>
    <w:rsid w:val="6027034B"/>
    <w:rsid w:val="625D6D72"/>
    <w:rsid w:val="653F4D11"/>
    <w:rsid w:val="65B1B34C"/>
    <w:rsid w:val="67FEE5C9"/>
    <w:rsid w:val="681F3E56"/>
    <w:rsid w:val="6915437C"/>
    <w:rsid w:val="6A2BEF22"/>
    <w:rsid w:val="6A798476"/>
    <w:rsid w:val="6B328A4F"/>
    <w:rsid w:val="6B66A9E4"/>
    <w:rsid w:val="6BE28543"/>
    <w:rsid w:val="6CC4E900"/>
    <w:rsid w:val="6D069F88"/>
    <w:rsid w:val="6F1427A1"/>
    <w:rsid w:val="6F1FF59C"/>
    <w:rsid w:val="6FAC144F"/>
    <w:rsid w:val="6FE9CDC1"/>
    <w:rsid w:val="6FF9B7C0"/>
    <w:rsid w:val="72144426"/>
    <w:rsid w:val="7257965E"/>
    <w:rsid w:val="72581A95"/>
    <w:rsid w:val="72AC537B"/>
    <w:rsid w:val="732AF305"/>
    <w:rsid w:val="77662FD0"/>
    <w:rsid w:val="77938B36"/>
    <w:rsid w:val="79D26171"/>
    <w:rsid w:val="7B8EEB5F"/>
    <w:rsid w:val="7BE55047"/>
    <w:rsid w:val="7E6342D1"/>
    <w:rsid w:val="7E7F8924"/>
    <w:rsid w:val="7E8C389D"/>
    <w:rsid w:val="7F1CF109"/>
    <w:rsid w:val="7FB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0241B6"/>
  <w15:chartTrackingRefBased/>
  <w15:docId w15:val="{17C57584-8B2E-4E5C-AC53-1D9C2C6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193F86"/>
    <w:pPr>
      <w:shd w:val="clear" w:color="auto" w:fill="FFFFFF"/>
      <w:spacing w:before="360" w:beforeAutospacing="0" w:after="120" w:afterAutospacing="0" w:line="276" w:lineRule="auto"/>
      <w:ind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3F86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3F86"/>
    <w:pPr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3F86"/>
    <w:rPr>
      <w:rFonts w:ascii="Arial" w:hAnsi="Arial"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18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E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EF265E"/>
  </w:style>
  <w:style w:type="character" w:customStyle="1" w:styleId="eop">
    <w:name w:val="eop"/>
    <w:basedOn w:val="DefaultParagraphFont"/>
    <w:rsid w:val="00EF265E"/>
  </w:style>
  <w:style w:type="character" w:customStyle="1" w:styleId="superscript">
    <w:name w:val="superscript"/>
    <w:basedOn w:val="DefaultParagraphFont"/>
    <w:rsid w:val="00E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i.govt.nz/guidance-and-resources/guidance-for-policy-makes/" TargetMode="External"/><Relationship Id="rId18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rchives.govt.nz/discover-our-stories/the-treaty-of-waitangi" TargetMode="External"/><Relationship Id="rId17" Type="http://schemas.openxmlformats.org/officeDocument/2006/relationships/hyperlink" Target="https://www.health.govt.nz/publication/whaia-te-ao-marama-2018-2022-maori-disability-action-pla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inggoodlives.co.nz/about-egl/egl-approach/principl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ford@dpa.org.nz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odi.govt.nz/nz-disability-strategy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development/desa/disabilities/convention-on-the-rights-of-persons-with-disabilities.html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6" ma:contentTypeDescription="Create a new document." ma:contentTypeScope="" ma:versionID="71b549096551ae5f37b2ce62c2a457a3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b717fb71f601362755a4f0b7d517068a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A29BD-1F75-4B3D-BB9B-5A95C64B2235}">
  <ds:schemaRefs>
    <ds:schemaRef ds:uri="http://schemas.microsoft.com/office/2006/documentManagement/types"/>
    <ds:schemaRef ds:uri="d2301f34-5cde-48a5-92d5-a0089b6a6a0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67b1871-600f-4b9e-a4b1-ab314be2ee20"/>
  </ds:schemaRefs>
</ds:datastoreItem>
</file>

<file path=customXml/itemProps2.xml><?xml version="1.0" encoding="utf-8"?>
<ds:datastoreItem xmlns:ds="http://schemas.openxmlformats.org/officeDocument/2006/customXml" ds:itemID="{5A38E118-0FF2-4082-8810-A055C4BD6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E0D3B-161A-4D78-AB1B-85D0C95DB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60F7B-B657-45A8-8842-F0A965019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Woodbury</dc:creator>
  <cp:keywords/>
  <dc:description/>
  <cp:lastModifiedBy>Emily Tilley</cp:lastModifiedBy>
  <cp:revision>2</cp:revision>
  <dcterms:created xsi:type="dcterms:W3CDTF">2023-10-06T05:05:00Z</dcterms:created>
  <dcterms:modified xsi:type="dcterms:W3CDTF">2023-10-06T05:05:00Z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