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00FE" w14:textId="11014BE8" w:rsidR="003C0A13" w:rsidRDefault="14250A8D" w:rsidP="275D3F52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7138370E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January 2023</w:t>
      </w:r>
    </w:p>
    <w:p w14:paraId="47E32337" w14:textId="702ADFE1" w:rsidR="003C0A13" w:rsidRDefault="003C0A13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9B8E1D" w14:textId="2130A1CB" w:rsidR="003C0A13" w:rsidRDefault="14CBD302" w:rsidP="3693E0CF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4D267AFB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To </w:t>
      </w:r>
      <w:r w:rsidR="27E1080E" w:rsidRPr="4D267AFB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Wellington City Council</w:t>
      </w:r>
    </w:p>
    <w:p w14:paraId="51031BA0" w14:textId="0DD2DBEB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256975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Please find attached our submission on the</w:t>
      </w:r>
      <w:r w:rsidR="4F280A39" w:rsidRPr="2256975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5411297F" w:rsidRPr="2256975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Inner City Play </w:t>
      </w:r>
      <w:r w:rsidR="292DF7B8" w:rsidRPr="2256975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Survey</w:t>
      </w:r>
    </w:p>
    <w:p w14:paraId="22C9E39C" w14:textId="77777777" w:rsidR="008D71A2" w:rsidRDefault="008D71A2" w:rsidP="3DE9AD76">
      <w:pPr>
        <w:spacing w:before="360" w:after="120" w:line="276" w:lineRule="auto"/>
        <w:ind w:left="142" w:right="306"/>
        <w:jc w:val="center"/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</w:pPr>
    </w:p>
    <w:p w14:paraId="0F1A21A2" w14:textId="77777777" w:rsidR="008D71A2" w:rsidRDefault="008D71A2" w:rsidP="3DE9AD76">
      <w:pPr>
        <w:spacing w:before="360" w:after="120" w:line="276" w:lineRule="auto"/>
        <w:ind w:left="142" w:right="306"/>
        <w:jc w:val="center"/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</w:pPr>
    </w:p>
    <w:p w14:paraId="6D5BBD76" w14:textId="362D9E2E" w:rsidR="003C0A13" w:rsidRDefault="14CBD302" w:rsidP="3DE9AD76">
      <w:pPr>
        <w:spacing w:before="360" w:after="120" w:line="276" w:lineRule="auto"/>
        <w:ind w:left="142" w:right="306"/>
        <w:jc w:val="center"/>
        <w:rPr>
          <w:rFonts w:ascii="Arial Rounded MT Bold" w:eastAsia="Arial Rounded MT Bold" w:hAnsi="Arial Rounded MT Bold" w:cs="Arial Rounded MT Bold"/>
          <w:color w:val="002060"/>
          <w:sz w:val="32"/>
          <w:szCs w:val="32"/>
        </w:rPr>
      </w:pPr>
      <w:r w:rsidRPr="3DE9AD76"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  <w:t>Disabled Persons Assembly NZ</w:t>
      </w:r>
    </w:p>
    <w:p w14:paraId="67E52CD2" w14:textId="79701CA0" w:rsidR="003C0A13" w:rsidRDefault="003C0A13" w:rsidP="3DE9AD76">
      <w:pPr>
        <w:spacing w:before="120" w:after="120" w:line="276" w:lineRule="auto"/>
        <w:ind w:left="142" w:right="30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E856292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0F44ED6A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68D4C82B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72066D78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25CBD819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5D6CD980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5419A9F7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7814BD60" w14:textId="77777777" w:rsidR="00BA1EFC" w:rsidRDefault="00BA1EFC" w:rsidP="3DE9AD76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5CA298F5" w14:textId="779A5DFD" w:rsidR="003C0A13" w:rsidRDefault="14CBD302" w:rsidP="3DE9AD76">
      <w:pPr>
        <w:spacing w:line="360" w:lineRule="auto"/>
        <w:rPr>
          <w:rFonts w:ascii="Arial" w:eastAsia="Arial" w:hAnsi="Arial" w:cs="Arial"/>
          <w:color w:val="002060"/>
          <w:sz w:val="24"/>
          <w:szCs w:val="24"/>
        </w:rPr>
      </w:pPr>
      <w:r w:rsidRPr="3DE9AD76"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  <w:t>Contact:</w:t>
      </w:r>
    </w:p>
    <w:p w14:paraId="04D78BAB" w14:textId="1A17C4E8" w:rsidR="003C0A13" w:rsidRDefault="14CBD302" w:rsidP="3DE9AD76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r w:rsidRPr="3DE9AD76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 xml:space="preserve">Chris Ford </w:t>
      </w:r>
    </w:p>
    <w:p w14:paraId="4B74425C" w14:textId="53ECC26D" w:rsidR="003C0A13" w:rsidRDefault="14CBD302" w:rsidP="3DE9AD76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r w:rsidRPr="76907C69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 xml:space="preserve">Regional Policy Advisor </w:t>
      </w:r>
    </w:p>
    <w:p w14:paraId="1B37191B" w14:textId="4EBF4E3F" w:rsidR="4E82C9AF" w:rsidRDefault="4E82C9AF" w:rsidP="76907C69">
      <w:pPr>
        <w:spacing w:line="276" w:lineRule="auto"/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</w:pPr>
      <w:r w:rsidRPr="76907C69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>Acting Kaituitui – Wellington Region</w:t>
      </w:r>
    </w:p>
    <w:p w14:paraId="432E55D0" w14:textId="69C6CF47" w:rsidR="003C0A13" w:rsidRDefault="14CBD302" w:rsidP="3DE9AD76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r w:rsidRPr="3DE9AD76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>027 696 0872</w:t>
      </w:r>
    </w:p>
    <w:p w14:paraId="2B5809D8" w14:textId="2A0DE20F" w:rsidR="003C0A13" w:rsidRDefault="00206BDB" w:rsidP="3DE9AD76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hyperlink r:id="rId8">
        <w:r w:rsidR="14CBD302" w:rsidRPr="3DE9AD76">
          <w:rPr>
            <w:rStyle w:val="Hyperlink"/>
            <w:rFonts w:ascii="Arial Rounded MT Bold" w:eastAsia="Arial Rounded MT Bold" w:hAnsi="Arial Rounded MT Bold" w:cs="Arial Rounded MT Bold"/>
            <w:b/>
            <w:bCs/>
            <w:sz w:val="28"/>
            <w:szCs w:val="28"/>
            <w:lang w:val="en-NZ"/>
          </w:rPr>
          <w:t>chris.ford@dpa.org.nz</w:t>
        </w:r>
      </w:hyperlink>
      <w:r w:rsidR="14CBD302" w:rsidRPr="3DE9AD76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 xml:space="preserve"> </w:t>
      </w:r>
    </w:p>
    <w:p w14:paraId="130FDAA9" w14:textId="4E85A2C2" w:rsidR="003C0A13" w:rsidRDefault="003C0A13" w:rsidP="3DE9AD76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</w:p>
    <w:p w14:paraId="6757ABDC" w14:textId="77777777" w:rsidR="00416A33" w:rsidRDefault="00416A33" w:rsidP="00416A33">
      <w:pPr>
        <w:pStyle w:val="Heading1"/>
        <w:spacing w:line="276" w:lineRule="auto"/>
        <w:ind w:right="306"/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</w:pPr>
    </w:p>
    <w:p w14:paraId="3E6717B7" w14:textId="169A26F8" w:rsidR="003C0A13" w:rsidRPr="00D91B89" w:rsidRDefault="00416A33" w:rsidP="00416A33">
      <w:pPr>
        <w:pStyle w:val="Heading1"/>
        <w:spacing w:line="276" w:lineRule="auto"/>
        <w:ind w:right="306"/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</w:pPr>
      <w:r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br w:type="page"/>
      </w:r>
      <w:r w:rsidR="14CBD302" w:rsidRPr="3DE9AD76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lastRenderedPageBreak/>
        <w:t>Introducing Disabled Persons Assembly</w:t>
      </w:r>
    </w:p>
    <w:p w14:paraId="2CD0A1ED" w14:textId="15F075F2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We work on systemic change for the equity of disabled </w:t>
      </w:r>
      <w:proofErr w:type="gramStart"/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>people</w:t>
      </w:r>
      <w:proofErr w:type="gram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</w:p>
    <w:p w14:paraId="10341B9A" w14:textId="1013FC14" w:rsidR="003C0A13" w:rsidRDefault="14CBD302" w:rsidP="4429C385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Disabled Persons Assembly NZ (DPA) is a not-for-profit pan-impairment Disabled People’s </w:t>
      </w:r>
      <w:proofErr w:type="spell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Organisation</w:t>
      </w:r>
      <w:proofErr w:type="spell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run by and for disabled people.  </w:t>
      </w:r>
    </w:p>
    <w:p w14:paraId="63E7F359" w14:textId="20178880" w:rsidR="003C0A13" w:rsidRDefault="14CBD302" w:rsidP="4429C385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We </w:t>
      </w:r>
      <w:proofErr w:type="spellStart"/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recognise</w:t>
      </w:r>
      <w:proofErr w:type="spellEnd"/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</w:p>
    <w:p w14:paraId="4A560956" w14:textId="2E03E37B" w:rsidR="003C0A13" w:rsidRDefault="14CBD302" w:rsidP="4429C38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Māori as </w:t>
      </w:r>
      <w:proofErr w:type="spell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Tangata</w:t>
      </w:r>
      <w:proofErr w:type="spell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Whenua and </w:t>
      </w:r>
      <w:hyperlink r:id="rId9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 xml:space="preserve">Te </w:t>
        </w:r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Tiriti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 xml:space="preserve"> o Waitangi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founding document of Aotearoa New </w:t>
      </w:r>
      <w:proofErr w:type="gram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Zealand;</w:t>
      </w:r>
      <w:proofErr w:type="gramEnd"/>
    </w:p>
    <w:p w14:paraId="340BC670" w14:textId="5E7892A7" w:rsidR="003C0A13" w:rsidRDefault="14CBD302" w:rsidP="4429C38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disabled people as experts on their own </w:t>
      </w:r>
      <w:proofErr w:type="gram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lives;</w:t>
      </w:r>
      <w:proofErr w:type="gramEnd"/>
    </w:p>
    <w:p w14:paraId="239BAB74" w14:textId="4C2BA838" w:rsidR="003C0A13" w:rsidRDefault="14CBD302" w:rsidP="4429C38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0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Social Model of Disability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guiding principle for interpreting disability and </w:t>
      </w:r>
      <w:proofErr w:type="gram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impairment;</w:t>
      </w:r>
      <w:proofErr w:type="gram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9F4FEED" w14:textId="2146735A" w:rsidR="003C0A13" w:rsidRDefault="14CBD302" w:rsidP="4429C38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1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United Nations Convention on the Rights of Persons with Disabilities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basis for disabled people’s relationship with the State;</w:t>
      </w:r>
    </w:p>
    <w:p w14:paraId="32F66A61" w14:textId="54FA1ED8" w:rsidR="003C0A13" w:rsidRDefault="14CBD302" w:rsidP="4429C38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2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New Zealand Disability Strategy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Government agencies’ guide on disability issues; and </w:t>
      </w:r>
    </w:p>
    <w:p w14:paraId="0D4CD9D5" w14:textId="0191EF19" w:rsidR="003C0A13" w:rsidRDefault="14CBD302" w:rsidP="4429C38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3">
        <w:r w:rsidRPr="3DE9AD7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Enabling Good Lives Principles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, </w:t>
      </w:r>
      <w:hyperlink r:id="rId14"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Whāia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Te </w:t>
        </w:r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Ao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Mārama: Māori Disability Action Plan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, and </w:t>
      </w:r>
      <w:hyperlink r:id="rId15"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Faiva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Ora: National Pasifika Disability </w:t>
        </w:r>
        <w:proofErr w:type="spellStart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Disability</w:t>
        </w:r>
        <w:proofErr w:type="spellEnd"/>
        <w:r w:rsidRPr="3DE9AD76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Plan</w:t>
        </w:r>
      </w:hyperlink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as avenues to disabled people gaining greater choice and control over their lives and supports. </w:t>
      </w:r>
    </w:p>
    <w:p w14:paraId="4EFAAEB2" w14:textId="16F212A2" w:rsidR="4429C385" w:rsidRDefault="4429C385" w:rsidP="4429C385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87ACBD6" w14:textId="6B2728AD" w:rsidR="003C0A13" w:rsidRDefault="14CBD302" w:rsidP="4429C385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We drive systemic change through: </w:t>
      </w:r>
    </w:p>
    <w:p w14:paraId="7820E5DB" w14:textId="2A3D75AD" w:rsidR="003C0A13" w:rsidRDefault="14CBD302" w:rsidP="4429C385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Leadership: </w:t>
      </w: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reflecting the collective voice of disabled people, locally, </w:t>
      </w:r>
      <w:proofErr w:type="gram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nationally</w:t>
      </w:r>
      <w:proofErr w:type="gram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internationally. </w:t>
      </w:r>
    </w:p>
    <w:p w14:paraId="20699B7B" w14:textId="739F8FB2" w:rsidR="003C0A13" w:rsidRDefault="14CBD302" w:rsidP="4429C385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Information and advice: </w:t>
      </w: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informing and advising on policies impacting on the lives of disabled people.</w:t>
      </w:r>
    </w:p>
    <w:p w14:paraId="335DBCFA" w14:textId="6E9D2864" w:rsidR="003C0A13" w:rsidRDefault="14CBD302" w:rsidP="4429C385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Advocacy: </w:t>
      </w: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supporting disabled people to have a voice, including a collective voice, in society.</w:t>
      </w:r>
    </w:p>
    <w:p w14:paraId="31F9C42C" w14:textId="2B295FB6" w:rsidR="00416A33" w:rsidRDefault="14CBD302" w:rsidP="4429C385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3DE9AD7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Monitoring: </w:t>
      </w: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monitoring and giving feedback on existing laws, </w:t>
      </w:r>
      <w:proofErr w:type="gramStart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policies</w:t>
      </w:r>
      <w:proofErr w:type="gramEnd"/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practices about and relevant to disabled people.</w:t>
      </w:r>
    </w:p>
    <w:p w14:paraId="0B0FDB61" w14:textId="457EF13E" w:rsidR="003C0A13" w:rsidRDefault="14CBD302" w:rsidP="3DE9AD76">
      <w:pPr>
        <w:pStyle w:val="Heading1"/>
        <w:spacing w:line="360" w:lineRule="auto"/>
        <w:ind w:left="-567" w:right="306"/>
        <w:rPr>
          <w:rFonts w:ascii="Arial" w:eastAsia="Arial" w:hAnsi="Arial" w:cs="Arial"/>
          <w:b/>
          <w:bCs/>
          <w:color w:val="002060"/>
          <w:sz w:val="36"/>
          <w:szCs w:val="36"/>
        </w:rPr>
      </w:pPr>
      <w:r w:rsidRPr="3DE9AD76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t xml:space="preserve">The submission </w:t>
      </w:r>
    </w:p>
    <w:p w14:paraId="17655EEE" w14:textId="0D67FA73" w:rsidR="14CBD302" w:rsidRDefault="14CBD302" w:rsidP="76907C69">
      <w:pPr>
        <w:spacing w:line="360" w:lineRule="auto"/>
        <w:rPr>
          <w:rFonts w:ascii="Arial" w:eastAsia="Arial" w:hAnsi="Arial" w:cs="Arial"/>
          <w:b/>
          <w:bCs/>
          <w:color w:val="002060"/>
          <w:sz w:val="36"/>
          <w:szCs w:val="36"/>
        </w:rPr>
      </w:pPr>
      <w:r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DPA is providing this submission for the benefit of the </w:t>
      </w:r>
      <w:r w:rsidR="15273A89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Wellington City Council in its decision making around Inner City play areas for </w:t>
      </w:r>
      <w:proofErr w:type="spellStart"/>
      <w:r w:rsidR="15273A89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tamariki</w:t>
      </w:r>
      <w:proofErr w:type="spellEnd"/>
      <w:r w:rsidR="15273A89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/children and whanau/families. </w:t>
      </w:r>
    </w:p>
    <w:p w14:paraId="737192D7" w14:textId="5196CCA6" w:rsidR="7495B994" w:rsidRDefault="5FCD61B3" w:rsidP="76907C69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lastRenderedPageBreak/>
        <w:t>We</w:t>
      </w:r>
      <w:r w:rsidR="7495B99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would like to outline some </w:t>
      </w:r>
      <w:r w:rsidR="6697BD37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high-level</w:t>
      </w:r>
      <w:r w:rsidR="7495B99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principles which should inform the planning, </w:t>
      </w:r>
      <w:proofErr w:type="gramStart"/>
      <w:r w:rsidR="7495B99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construction</w:t>
      </w:r>
      <w:proofErr w:type="gramEnd"/>
      <w:r w:rsidR="7495B99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placement of play </w:t>
      </w:r>
      <w:r w:rsidR="53E82C2D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areas in the Inner-City Wellington area.</w:t>
      </w:r>
    </w:p>
    <w:p w14:paraId="2873D4AE" w14:textId="4AB4DFF2" w:rsidR="321622B5" w:rsidRDefault="321622B5" w:rsidP="76907C69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Firstly, DPA recommends that all playgrounds be designed and constructed to universal design standards. This </w:t>
      </w:r>
      <w:r w:rsidR="0FD6DBC2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means</w:t>
      </w:r>
      <w:r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th</w:t>
      </w:r>
      <w:r w:rsidR="18F3A7C3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at </w:t>
      </w:r>
      <w:r w:rsidR="3ADAA753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all</w:t>
      </w:r>
      <w:r w:rsidR="18F3A7C3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play </w:t>
      </w:r>
      <w:r w:rsidR="48915992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modes</w:t>
      </w:r>
      <w:r w:rsidR="6633F817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696026BC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(such</w:t>
      </w:r>
      <w:r w:rsidR="0FF01866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as</w:t>
      </w:r>
      <w:r w:rsidR="6633F817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swings, climbing frames</w:t>
      </w:r>
      <w:r w:rsidR="10494EEA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7869E738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etc) </w:t>
      </w:r>
      <w:r w:rsidR="18F3A7C3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should </w:t>
      </w:r>
      <w:r w:rsidR="7318F620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hav</w:t>
      </w:r>
      <w:r w:rsidR="18F3A7C3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e </w:t>
      </w:r>
      <w:r w:rsidR="18F3A7C3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fully usable, </w:t>
      </w:r>
      <w:proofErr w:type="gramStart"/>
      <w:r w:rsidR="18F3A7C3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accessible</w:t>
      </w:r>
      <w:proofErr w:type="gramEnd"/>
      <w:r w:rsidR="18F3A7C3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inclusive </w:t>
      </w:r>
      <w:r w:rsidR="6DCA4F2A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equipment so that each mode </w:t>
      </w:r>
      <w:r w:rsidR="58D1FF1D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cater</w:t>
      </w:r>
      <w:r w:rsidR="548FFBF9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s</w:t>
      </w:r>
      <w:r w:rsidR="18F3A7C3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1A2AA571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for</w:t>
      </w:r>
      <w:r w:rsidR="18F3A7C3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all children, including disabled children and families/whanau. </w:t>
      </w:r>
      <w:r w:rsidR="28327527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Often</w:t>
      </w:r>
      <w:r w:rsidR="18F3A7C3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, in Wellingto</w:t>
      </w:r>
      <w:r w:rsidR="5131F690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n and elsewhere within New Zealand, local councils </w:t>
      </w:r>
      <w:r w:rsidR="67D12F60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only</w:t>
      </w:r>
      <w:r w:rsidR="5131F690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008D01AF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provid</w:t>
      </w:r>
      <w:r w:rsidR="2508990F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e</w:t>
      </w:r>
      <w:r w:rsidR="5131F690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28B0C901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a token piece of</w:t>
      </w:r>
      <w:r w:rsidR="5131F690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accessible equipment in play areas and playgrounds</w:t>
      </w:r>
      <w:r w:rsidR="1019FC79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(and often not even that)</w:t>
      </w:r>
      <w:r w:rsidR="5131F690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, </w:t>
      </w:r>
      <w:r w:rsidR="2349E5ED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which means</w:t>
      </w:r>
      <w:r w:rsidR="00D37FF1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that </w:t>
      </w:r>
      <w:proofErr w:type="gramStart"/>
      <w:r w:rsidR="00D37FF1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the majority of</w:t>
      </w:r>
      <w:proofErr w:type="gramEnd"/>
      <w:r w:rsidR="00D37FF1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11F5E250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the</w:t>
      </w:r>
      <w:r w:rsidR="00D37FF1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5131F690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play equipment</w:t>
      </w:r>
      <w:r w:rsidR="008D01AF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00D37FF1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can only be used by non-disabled </w:t>
      </w:r>
      <w:proofErr w:type="spellStart"/>
      <w:r w:rsidR="00D37FF1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tamariki</w:t>
      </w:r>
      <w:proofErr w:type="spellEnd"/>
      <w:r w:rsidR="00D37FF1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/childre</w:t>
      </w:r>
      <w:r w:rsidR="00921F28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n</w:t>
      </w:r>
      <w:r w:rsidR="07529BEE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.</w:t>
      </w:r>
      <w:r w:rsidR="25219F2F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While we acknowledge that having some inclusive play equipment</w:t>
      </w:r>
      <w:r w:rsidR="00921F28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in play areas and playgrounds</w:t>
      </w:r>
      <w:r w:rsidR="25219F2F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is better than nothing at all, th</w:t>
      </w:r>
      <w:r w:rsidR="0C1255BA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e </w:t>
      </w:r>
      <w:r w:rsidR="358DB9C7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starting</w:t>
      </w:r>
      <w:r w:rsidR="0C1255BA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principle should be that </w:t>
      </w:r>
      <w:r w:rsidR="2E82A83A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all </w:t>
      </w:r>
      <w:r w:rsidR="6FC6BD20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modes </w:t>
      </w:r>
      <w:r w:rsidR="2E82A83A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of </w:t>
      </w:r>
      <w:r w:rsidR="0C1255BA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play equipment should be able to be used by everyone</w:t>
      </w:r>
      <w:r w:rsidR="0F726AEA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, including disabled people</w:t>
      </w:r>
      <w:r w:rsidR="0C1255BA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.</w:t>
      </w:r>
    </w:p>
    <w:p w14:paraId="536C18FA" w14:textId="47C69E8E" w:rsidR="0C1255BA" w:rsidRDefault="0C1255BA" w:rsidP="76907C69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Secondly, DPA recommends that play area/playground projects be adequately </w:t>
      </w:r>
      <w:r w:rsidR="301FF851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funded</w:t>
      </w:r>
      <w:r w:rsidR="19D7E4E9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, including those planned for the Inner</w:t>
      </w:r>
      <w:r w:rsidR="00DD0FE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-</w:t>
      </w:r>
      <w:r w:rsidR="19D7E4E9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City. </w:t>
      </w:r>
      <w:r w:rsidR="775D7761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This should be the case as a </w:t>
      </w:r>
      <w:r w:rsidR="19D7E4E9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local member told us that</w:t>
      </w:r>
      <w:r w:rsidR="5292C7ED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,</w:t>
      </w:r>
      <w:r w:rsidR="19D7E4E9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from their experience of dealing with Council</w:t>
      </w:r>
      <w:r w:rsidR="4A66EF5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,</w:t>
      </w:r>
      <w:r w:rsidR="19D7E4E9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that the reason most often cited for not having funding </w:t>
      </w:r>
      <w:r w:rsidR="792A5781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to </w:t>
      </w:r>
      <w:r w:rsidR="5383BB55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provide fully accessible equipment</w:t>
      </w:r>
      <w:r w:rsidR="02A53E22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in playgrounds</w:t>
      </w:r>
      <w:r w:rsidR="5383BB55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3F80112E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is that much of the money is spent on laying the foundations which go under</w:t>
      </w:r>
      <w:r w:rsidR="1989F621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neath them. If this the case, then Council should</w:t>
      </w:r>
      <w:r w:rsidR="682EC5E9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allocate sufficient funding/resource to enable both the laying of foundations and the purchase of inclusive playground equipment.</w:t>
      </w:r>
    </w:p>
    <w:p w14:paraId="64CD2695" w14:textId="5FFD5AB5" w:rsidR="00B73F4C" w:rsidRDefault="682EC5E9" w:rsidP="76907C69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Thirdly, </w:t>
      </w:r>
      <w:r w:rsidR="40DC91B8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DPA recommends that there be sufficient mobility parking spaces and drop off</w:t>
      </w:r>
      <w:r w:rsidR="4743281C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/pick up</w:t>
      </w:r>
      <w:r w:rsidR="40DC91B8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points</w:t>
      </w:r>
      <w:r w:rsidR="0BCA7190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1776E44F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nearby </w:t>
      </w:r>
      <w:r w:rsidR="0BCA7190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(including accessible bus stops and mobility van loading/unloading zones)</w:t>
      </w:r>
      <w:r w:rsidR="40DC91B8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for disabled people so that they can bring any children,</w:t>
      </w:r>
      <w:r w:rsidR="46EB5396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family/whanau or others into </w:t>
      </w:r>
      <w:r w:rsidR="768AD03F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inner city play spaces.</w:t>
      </w:r>
    </w:p>
    <w:p w14:paraId="00A3BAA6" w14:textId="240D496A" w:rsidR="123107F4" w:rsidRDefault="123107F4" w:rsidP="76907C69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Fourthly, DPA recommends that </w:t>
      </w:r>
      <w:r w:rsidR="7D862501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amenities including accessible, universally designed toilets and changing areas be included within all </w:t>
      </w:r>
      <w:r w:rsidR="008E7C90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Inner-City</w:t>
      </w:r>
      <w:r w:rsidR="7D862501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playgrounds or be within easily reachable, accessible distance of a</w:t>
      </w:r>
      <w:r w:rsidR="002C61F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play area</w:t>
      </w:r>
      <w:r w:rsidR="77A3C0BF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.</w:t>
      </w:r>
    </w:p>
    <w:p w14:paraId="0C700BDB" w14:textId="51BAD3DB" w:rsidR="76907C69" w:rsidRDefault="77A3C0BF" w:rsidP="76907C69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Fifthly, DPA recommends that </w:t>
      </w:r>
      <w:r w:rsidR="2019164D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Council work in a co-design partnership with disabled people, especially disabled </w:t>
      </w:r>
      <w:proofErr w:type="spellStart"/>
      <w:r w:rsidR="2019164D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tamariki</w:t>
      </w:r>
      <w:proofErr w:type="spellEnd"/>
      <w:r w:rsidR="2019164D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/</w:t>
      </w:r>
      <w:proofErr w:type="gramStart"/>
      <w:r w:rsidR="2019164D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children</w:t>
      </w:r>
      <w:proofErr w:type="gramEnd"/>
      <w:r w:rsidR="2019164D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</w:t>
      </w:r>
      <w:proofErr w:type="spellStart"/>
      <w:r w:rsidR="2019164D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rangatahi</w:t>
      </w:r>
      <w:proofErr w:type="spellEnd"/>
      <w:r w:rsidR="2019164D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/youth on incor</w:t>
      </w:r>
      <w:r w:rsidR="267FACB1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porating universal design into all playgrounds and play areas in the Wellington City area.</w:t>
      </w:r>
    </w:p>
    <w:p w14:paraId="774A03E0" w14:textId="505E19A4" w:rsidR="003C0A13" w:rsidRDefault="14CBD302" w:rsidP="00571683">
      <w:pPr>
        <w:spacing w:line="360" w:lineRule="auto"/>
        <w:ind w:hanging="567"/>
        <w:rPr>
          <w:rFonts w:ascii="Arial" w:eastAsia="Arial" w:hAnsi="Arial" w:cs="Arial"/>
          <w:b/>
          <w:bCs/>
          <w:color w:val="002060"/>
          <w:sz w:val="36"/>
          <w:szCs w:val="36"/>
        </w:rPr>
      </w:pPr>
      <w:r w:rsidRPr="3DE9AD76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lastRenderedPageBreak/>
        <w:t>DPA’s recommendations</w:t>
      </w:r>
    </w:p>
    <w:p w14:paraId="7D460494" w14:textId="0129C10C" w:rsidR="003C0A13" w:rsidRDefault="14CBD302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DE9AD76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The Disabled Person’s Assembly recommends:</w:t>
      </w:r>
    </w:p>
    <w:p w14:paraId="531B1008" w14:textId="7327D4A9" w:rsidR="003C0A13" w:rsidRPr="00197004" w:rsidRDefault="14CBD302" w:rsidP="00197004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76907C6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>Recommendation 1</w:t>
      </w:r>
      <w:r w:rsidR="002C61F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: </w:t>
      </w:r>
      <w:r w:rsidR="0019700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that all playgrounds be designed and constructed to universal design standards. This means that </w:t>
      </w:r>
      <w:r w:rsidR="5B622A5F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all</w:t>
      </w:r>
      <w:r w:rsidR="0019700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play </w:t>
      </w:r>
      <w:r w:rsidR="5B622A5F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modes (such as swings, climbing frames etc) </w:t>
      </w:r>
      <w:r w:rsidR="0019700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should </w:t>
      </w:r>
      <w:r w:rsidR="5B622A5F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have </w:t>
      </w:r>
      <w:r w:rsidR="0019700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fully usable, </w:t>
      </w:r>
      <w:proofErr w:type="gramStart"/>
      <w:r w:rsidR="0019700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accessible</w:t>
      </w:r>
      <w:proofErr w:type="gramEnd"/>
      <w:r w:rsidR="0019700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inclusive </w:t>
      </w:r>
      <w:r w:rsidR="5B622A5F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equipment so that each mode caters </w:t>
      </w:r>
      <w:r w:rsidR="0019700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for all children, including disabled children and families/whanau.</w:t>
      </w:r>
    </w:p>
    <w:p w14:paraId="277FEE79" w14:textId="712A30E1" w:rsidR="00197004" w:rsidRDefault="14CBD302" w:rsidP="00197004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019700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>Recommendation 2:</w:t>
      </w:r>
      <w:r w:rsidRPr="00197004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00197004"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that play area/playground projects be adequately funded, including those planned for the Inner City. </w:t>
      </w:r>
    </w:p>
    <w:p w14:paraId="759A27DA" w14:textId="39C3175F" w:rsidR="003C0A13" w:rsidRDefault="4477047B" w:rsidP="00197004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76907C6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Recommendation 3: </w:t>
      </w:r>
      <w:r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that there be sufficient mobility parking spaces and drop off/pick up points </w:t>
      </w:r>
      <w:r w:rsidR="7B110D0F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nearby</w:t>
      </w:r>
      <w:r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(including accessible bus stops and mobility van loading/unloading zones) for disabled people </w:t>
      </w:r>
      <w:r w:rsidR="356E3C19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including</w:t>
      </w:r>
      <w:r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children</w:t>
      </w:r>
      <w:r w:rsidR="260CEA0C" w:rsidRPr="4429C385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</w:t>
      </w:r>
      <w:r w:rsidRPr="76907C69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family/whanau.</w:t>
      </w:r>
    </w:p>
    <w:p w14:paraId="54C10A95" w14:textId="453EBFF6" w:rsidR="003C0A13" w:rsidRPr="00194BEA" w:rsidRDefault="0F64E453" w:rsidP="00194BEA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0194BE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Recommendation 4: </w:t>
      </w:r>
      <w:r w:rsidRPr="00194BE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that playground amenities including accessible, universally designed toilets and changing areas be included within all Inner-City playgrounds or be within easily reachable, accessible distance of a play area.</w:t>
      </w:r>
    </w:p>
    <w:p w14:paraId="1F770C0F" w14:textId="44BF94A3" w:rsidR="003C0A13" w:rsidRPr="00194BEA" w:rsidRDefault="0F64E453" w:rsidP="00194BEA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00194BE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Recommendation 5: </w:t>
      </w:r>
      <w:r w:rsidR="2B455FCC" w:rsidRPr="00194BE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that Council work in a co-design partnership with disabled people, especially disabled </w:t>
      </w:r>
      <w:proofErr w:type="spellStart"/>
      <w:r w:rsidR="2B455FCC" w:rsidRPr="00194BE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tamariki</w:t>
      </w:r>
      <w:proofErr w:type="spellEnd"/>
      <w:r w:rsidR="2B455FCC" w:rsidRPr="00194BE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/</w:t>
      </w:r>
      <w:proofErr w:type="gramStart"/>
      <w:r w:rsidR="2B455FCC" w:rsidRPr="00194BE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children</w:t>
      </w:r>
      <w:proofErr w:type="gramEnd"/>
      <w:r w:rsidR="2B455FCC" w:rsidRPr="00194BE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</w:t>
      </w:r>
      <w:proofErr w:type="spellStart"/>
      <w:r w:rsidR="2B455FCC" w:rsidRPr="00194BE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rangatahi</w:t>
      </w:r>
      <w:proofErr w:type="spellEnd"/>
      <w:r w:rsidR="2B455FCC" w:rsidRPr="00194BE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/youth on incorporating universal design into all playgrounds and play areas in the Wellington City area.</w:t>
      </w:r>
    </w:p>
    <w:p w14:paraId="02A9512B" w14:textId="48428171" w:rsidR="003C0A13" w:rsidRDefault="003C0A13" w:rsidP="76907C6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05E5F70" w14:textId="1F2BABDD" w:rsidR="003C0A13" w:rsidRDefault="003C0A13" w:rsidP="3DE9AD76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5787A5" w14:textId="034CCFE9" w:rsidR="003C0A13" w:rsidRDefault="003C0A13" w:rsidP="3DE9AD76"/>
    <w:sectPr w:rsidR="003C0A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3607E"/>
    <w:multiLevelType w:val="hybridMultilevel"/>
    <w:tmpl w:val="CCDE00FC"/>
    <w:lvl w:ilvl="0" w:tplc="247E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0B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C4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22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81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E9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03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21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1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3340A"/>
    <w:multiLevelType w:val="hybridMultilevel"/>
    <w:tmpl w:val="33FCCCD2"/>
    <w:lvl w:ilvl="0" w:tplc="1D4E8F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360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2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D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2F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48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EF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49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89958">
    <w:abstractNumId w:val="0"/>
  </w:num>
  <w:num w:numId="2" w16cid:durableId="147124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DFD5E"/>
    <w:rsid w:val="00010B73"/>
    <w:rsid w:val="00090086"/>
    <w:rsid w:val="000C4EA7"/>
    <w:rsid w:val="00194BEA"/>
    <w:rsid w:val="00197004"/>
    <w:rsid w:val="001B4D92"/>
    <w:rsid w:val="00206BDB"/>
    <w:rsid w:val="002C61F9"/>
    <w:rsid w:val="003C0A13"/>
    <w:rsid w:val="00416A33"/>
    <w:rsid w:val="00537DA0"/>
    <w:rsid w:val="00554D51"/>
    <w:rsid w:val="00571683"/>
    <w:rsid w:val="008D01AF"/>
    <w:rsid w:val="008D71A2"/>
    <w:rsid w:val="008E7C90"/>
    <w:rsid w:val="00921F28"/>
    <w:rsid w:val="009B2D83"/>
    <w:rsid w:val="00B73F4C"/>
    <w:rsid w:val="00BA1EFC"/>
    <w:rsid w:val="00BB2BCB"/>
    <w:rsid w:val="00D37FF1"/>
    <w:rsid w:val="00D91B89"/>
    <w:rsid w:val="00DD0FE3"/>
    <w:rsid w:val="00EE1A1C"/>
    <w:rsid w:val="01343D78"/>
    <w:rsid w:val="02A53E22"/>
    <w:rsid w:val="0573A8C9"/>
    <w:rsid w:val="07529BEE"/>
    <w:rsid w:val="080046C5"/>
    <w:rsid w:val="08AB498B"/>
    <w:rsid w:val="098BE861"/>
    <w:rsid w:val="099C1726"/>
    <w:rsid w:val="0A271116"/>
    <w:rsid w:val="0A4719EC"/>
    <w:rsid w:val="0BCA7190"/>
    <w:rsid w:val="0C1255BA"/>
    <w:rsid w:val="0D9D4A78"/>
    <w:rsid w:val="0E5F5984"/>
    <w:rsid w:val="0F391AD9"/>
    <w:rsid w:val="0F589C2A"/>
    <w:rsid w:val="0F64E453"/>
    <w:rsid w:val="0F726AEA"/>
    <w:rsid w:val="0FD6DBC2"/>
    <w:rsid w:val="0FF01866"/>
    <w:rsid w:val="0FFB29E5"/>
    <w:rsid w:val="1019FC79"/>
    <w:rsid w:val="10494EEA"/>
    <w:rsid w:val="10D4EB3A"/>
    <w:rsid w:val="1196FA46"/>
    <w:rsid w:val="11F5E250"/>
    <w:rsid w:val="123107F4"/>
    <w:rsid w:val="12903CEC"/>
    <w:rsid w:val="1332CAA7"/>
    <w:rsid w:val="14250A8D"/>
    <w:rsid w:val="14CBD302"/>
    <w:rsid w:val="15273A89"/>
    <w:rsid w:val="166A6B69"/>
    <w:rsid w:val="1776E44F"/>
    <w:rsid w:val="18063BCA"/>
    <w:rsid w:val="18F3A7C3"/>
    <w:rsid w:val="1989F621"/>
    <w:rsid w:val="19952772"/>
    <w:rsid w:val="19A0D8DB"/>
    <w:rsid w:val="19D7E4E9"/>
    <w:rsid w:val="1A2A567F"/>
    <w:rsid w:val="1A2AA571"/>
    <w:rsid w:val="200B496F"/>
    <w:rsid w:val="2019164D"/>
    <w:rsid w:val="20EBE845"/>
    <w:rsid w:val="219BE339"/>
    <w:rsid w:val="22569756"/>
    <w:rsid w:val="2349E5ED"/>
    <w:rsid w:val="2508990F"/>
    <w:rsid w:val="25219F2F"/>
    <w:rsid w:val="260CEA0C"/>
    <w:rsid w:val="267A8AF3"/>
    <w:rsid w:val="267FACB1"/>
    <w:rsid w:val="275D3F52"/>
    <w:rsid w:val="27E1080E"/>
    <w:rsid w:val="28327527"/>
    <w:rsid w:val="28B0C901"/>
    <w:rsid w:val="292DF7B8"/>
    <w:rsid w:val="299222DF"/>
    <w:rsid w:val="29F03CD0"/>
    <w:rsid w:val="2A47730C"/>
    <w:rsid w:val="2B455FCC"/>
    <w:rsid w:val="2E82A83A"/>
    <w:rsid w:val="2F07A5B5"/>
    <w:rsid w:val="301FF851"/>
    <w:rsid w:val="31C52B20"/>
    <w:rsid w:val="321622B5"/>
    <w:rsid w:val="33F01DFB"/>
    <w:rsid w:val="356E3C19"/>
    <w:rsid w:val="358DB9C7"/>
    <w:rsid w:val="365DC786"/>
    <w:rsid w:val="3678936D"/>
    <w:rsid w:val="3693E0CF"/>
    <w:rsid w:val="382471B6"/>
    <w:rsid w:val="39150B7A"/>
    <w:rsid w:val="3AB0DBDB"/>
    <w:rsid w:val="3AB20CB4"/>
    <w:rsid w:val="3ADAA753"/>
    <w:rsid w:val="3B4C0490"/>
    <w:rsid w:val="3D07DDC7"/>
    <w:rsid w:val="3DE9AD76"/>
    <w:rsid w:val="3F80112E"/>
    <w:rsid w:val="40DC91B8"/>
    <w:rsid w:val="41C6F77D"/>
    <w:rsid w:val="42196005"/>
    <w:rsid w:val="42BBEDC0"/>
    <w:rsid w:val="4362C7DE"/>
    <w:rsid w:val="4429C385"/>
    <w:rsid w:val="4477047B"/>
    <w:rsid w:val="4489A3DE"/>
    <w:rsid w:val="467BD8D6"/>
    <w:rsid w:val="469A68A0"/>
    <w:rsid w:val="46EB5396"/>
    <w:rsid w:val="4743281C"/>
    <w:rsid w:val="47944933"/>
    <w:rsid w:val="48915992"/>
    <w:rsid w:val="4A66EF54"/>
    <w:rsid w:val="4D267AFB"/>
    <w:rsid w:val="4D4D9961"/>
    <w:rsid w:val="4E07BEC6"/>
    <w:rsid w:val="4E82C9AF"/>
    <w:rsid w:val="4F280A39"/>
    <w:rsid w:val="5131F690"/>
    <w:rsid w:val="513F5F88"/>
    <w:rsid w:val="526B68B9"/>
    <w:rsid w:val="5292C7ED"/>
    <w:rsid w:val="5383BB55"/>
    <w:rsid w:val="53AD710E"/>
    <w:rsid w:val="53E82C2D"/>
    <w:rsid w:val="5411297F"/>
    <w:rsid w:val="5453863E"/>
    <w:rsid w:val="548FFBF9"/>
    <w:rsid w:val="55E3A536"/>
    <w:rsid w:val="5866F4E6"/>
    <w:rsid w:val="58D1FF1D"/>
    <w:rsid w:val="5926F761"/>
    <w:rsid w:val="5B040298"/>
    <w:rsid w:val="5B622A5F"/>
    <w:rsid w:val="5CDDFD5E"/>
    <w:rsid w:val="5DF59794"/>
    <w:rsid w:val="5FCD61B3"/>
    <w:rsid w:val="5FCF7910"/>
    <w:rsid w:val="6041A052"/>
    <w:rsid w:val="62AF49DD"/>
    <w:rsid w:val="63794114"/>
    <w:rsid w:val="652491E2"/>
    <w:rsid w:val="6633F817"/>
    <w:rsid w:val="6697BD37"/>
    <w:rsid w:val="67D12F60"/>
    <w:rsid w:val="67DA8AF5"/>
    <w:rsid w:val="680A2088"/>
    <w:rsid w:val="682EC5E9"/>
    <w:rsid w:val="696026BC"/>
    <w:rsid w:val="69765B56"/>
    <w:rsid w:val="6A901E39"/>
    <w:rsid w:val="6AE0D912"/>
    <w:rsid w:val="6BFFC742"/>
    <w:rsid w:val="6C7CA973"/>
    <w:rsid w:val="6DCA4F2A"/>
    <w:rsid w:val="6F294E5A"/>
    <w:rsid w:val="6FC6BD20"/>
    <w:rsid w:val="7138370E"/>
    <w:rsid w:val="72EBEAF7"/>
    <w:rsid w:val="72EC1CCD"/>
    <w:rsid w:val="7318F620"/>
    <w:rsid w:val="7495B994"/>
    <w:rsid w:val="76238BB9"/>
    <w:rsid w:val="768AD03F"/>
    <w:rsid w:val="76907C69"/>
    <w:rsid w:val="775D7761"/>
    <w:rsid w:val="77A3C0BF"/>
    <w:rsid w:val="77BF5C1A"/>
    <w:rsid w:val="7869E738"/>
    <w:rsid w:val="792A5781"/>
    <w:rsid w:val="798EECF3"/>
    <w:rsid w:val="7B110D0F"/>
    <w:rsid w:val="7BFD6A64"/>
    <w:rsid w:val="7D862501"/>
    <w:rsid w:val="7DC4B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FD5E"/>
  <w15:chartTrackingRefBased/>
  <w15:docId w15:val="{898108A0-2D13-400F-9856-E485EDA5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3DE9AD76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ford@dpa.org.nz" TargetMode="External"/><Relationship Id="rId13" Type="http://schemas.openxmlformats.org/officeDocument/2006/relationships/hyperlink" Target="https://www.enablinggoodlives.co.nz/about-egl/egl-approach/principl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di.govt.nz/nz-disability-strateg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.org/development/desa/disabilities/convention-on-the-rights-of-persons-with-disabiliti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10" Type="http://schemas.openxmlformats.org/officeDocument/2006/relationships/hyperlink" Target="https://www.odi.govt.nz/guidance-and-resources/guidance-for-policy-mak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rchives.govt.nz/discover-our-stories/the-treaty-of-waitangi" TargetMode="External"/><Relationship Id="rId14" Type="http://schemas.openxmlformats.org/officeDocument/2006/relationships/hyperlink" Target="https://www.health.govt.nz/publication/whaia-te-ao-marama-2018-2022-maori-disability-actio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9C064-534D-46F0-9418-DC83ED025C72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customXml/itemProps2.xml><?xml version="1.0" encoding="utf-8"?>
<ds:datastoreItem xmlns:ds="http://schemas.openxmlformats.org/officeDocument/2006/customXml" ds:itemID="{AC712E2D-54F4-49B5-B90B-BBD6A5C9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E8305-2ACD-4255-8A58-789AC768A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Links>
    <vt:vector size="48" baseType="variant">
      <vt:variant>
        <vt:i4>1048578</vt:i4>
      </vt:variant>
      <vt:variant>
        <vt:i4>21</vt:i4>
      </vt:variant>
      <vt:variant>
        <vt:i4>0</vt:i4>
      </vt:variant>
      <vt:variant>
        <vt:i4>5</vt:i4>
      </vt:variant>
      <vt:variant>
        <vt:lpwstr>https://www.moh.govt.nz/notebook/nbbooks.nsf/0/5E544A3A23BEAECDCC2580FE007F7518/$file/faiva-ora-2016-2021-national-pasifika-disability-plan-feb17.pdf</vt:lpwstr>
      </vt:variant>
      <vt:variant>
        <vt:lpwstr/>
      </vt:variant>
      <vt:variant>
        <vt:i4>5242897</vt:i4>
      </vt:variant>
      <vt:variant>
        <vt:i4>18</vt:i4>
      </vt:variant>
      <vt:variant>
        <vt:i4>0</vt:i4>
      </vt:variant>
      <vt:variant>
        <vt:i4>5</vt:i4>
      </vt:variant>
      <vt:variant>
        <vt:lpwstr>https://www.health.govt.nz/publication/whaia-te-ao-marama-2018-2022-maori-disability-action-plan</vt:lpwstr>
      </vt:variant>
      <vt:variant>
        <vt:lpwstr/>
      </vt:variant>
      <vt:variant>
        <vt:i4>4063282</vt:i4>
      </vt:variant>
      <vt:variant>
        <vt:i4>15</vt:i4>
      </vt:variant>
      <vt:variant>
        <vt:i4>0</vt:i4>
      </vt:variant>
      <vt:variant>
        <vt:i4>5</vt:i4>
      </vt:variant>
      <vt:variant>
        <vt:lpwstr>https://www.enablinggoodlives.co.nz/about-egl/egl-approach/principles/</vt:lpwstr>
      </vt:variant>
      <vt:variant>
        <vt:lpwstr/>
      </vt:variant>
      <vt:variant>
        <vt:i4>7012387</vt:i4>
      </vt:variant>
      <vt:variant>
        <vt:i4>12</vt:i4>
      </vt:variant>
      <vt:variant>
        <vt:i4>0</vt:i4>
      </vt:variant>
      <vt:variant>
        <vt:i4>5</vt:i4>
      </vt:variant>
      <vt:variant>
        <vt:lpwstr>https://www.odi.govt.nz/nz-disability-strategy/</vt:lpwstr>
      </vt:variant>
      <vt:variant>
        <vt:lpwstr/>
      </vt:variant>
      <vt:variant>
        <vt:i4>3604583</vt:i4>
      </vt:variant>
      <vt:variant>
        <vt:i4>9</vt:i4>
      </vt:variant>
      <vt:variant>
        <vt:i4>0</vt:i4>
      </vt:variant>
      <vt:variant>
        <vt:i4>5</vt:i4>
      </vt:variant>
      <vt:variant>
        <vt:lpwstr>https://www.un.org/development/desa/disabilities/convention-on-the-rights-of-persons-with-disabilities.html</vt:lpwstr>
      </vt:variant>
      <vt:variant>
        <vt:lpwstr/>
      </vt:variant>
      <vt:variant>
        <vt:i4>4849675</vt:i4>
      </vt:variant>
      <vt:variant>
        <vt:i4>6</vt:i4>
      </vt:variant>
      <vt:variant>
        <vt:i4>0</vt:i4>
      </vt:variant>
      <vt:variant>
        <vt:i4>5</vt:i4>
      </vt:variant>
      <vt:variant>
        <vt:lpwstr>https://www.odi.govt.nz/guidance-and-resources/guidance-for-policy-makes/</vt:lpwstr>
      </vt:variant>
      <vt:variant>
        <vt:lpwstr/>
      </vt:variant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https://www.archives.govt.nz/discover-our-stories/the-treaty-of-waitangi</vt:lpwstr>
      </vt:variant>
      <vt:variant>
        <vt:lpwstr/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mailto:chris.ford@dpa.org.nz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Ford</dc:creator>
  <cp:keywords/>
  <dc:description/>
  <cp:lastModifiedBy>Emily Tilley</cp:lastModifiedBy>
  <cp:revision>2</cp:revision>
  <dcterms:created xsi:type="dcterms:W3CDTF">2023-02-04T21:29:00Z</dcterms:created>
  <dcterms:modified xsi:type="dcterms:W3CDTF">2023-02-04T21:29:00Z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