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00FE" w14:textId="11014BE8" w:rsidR="003C0A13" w:rsidRDefault="14250A8D" w:rsidP="275D3F5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7138370E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January 2023</w:t>
      </w:r>
    </w:p>
    <w:p w14:paraId="47E32337" w14:textId="702ADFE1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9B8E1D" w14:textId="7038895E" w:rsidR="003C0A13" w:rsidRDefault="14CBD302" w:rsidP="3693E0CF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="389213CD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Wellington City Council</w:t>
      </w:r>
    </w:p>
    <w:p w14:paraId="09169535" w14:textId="412BE090" w:rsidR="003C0A13" w:rsidRDefault="14CBD302" w:rsidP="2E72EEBA">
      <w:pPr>
        <w:pStyle w:val="Heading1"/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Please find attached our submission on the</w:t>
      </w:r>
      <w:r w:rsidR="4F280A39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477A8D73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Wellington Botanic Garden ki </w:t>
      </w:r>
      <w:proofErr w:type="spellStart"/>
      <w:r w:rsidR="477A8D73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Paekākā</w:t>
      </w:r>
      <w:proofErr w:type="spellEnd"/>
      <w:r w:rsidR="477A8D73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 area </w:t>
      </w:r>
      <w:proofErr w:type="gramStart"/>
      <w:r w:rsidR="477A8D73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renewal</w:t>
      </w:r>
      <w:proofErr w:type="gramEnd"/>
    </w:p>
    <w:p w14:paraId="51031BA0" w14:textId="0F8AB869" w:rsidR="003C0A13" w:rsidRDefault="003C0A13" w:rsidP="2E72EEB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22C9E39C" w14:textId="77777777" w:rsidR="008D71A2" w:rsidRDefault="008D71A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0F1A21A2" w14:textId="77777777" w:rsidR="008D71A2" w:rsidRDefault="008D71A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6D5BBD76" w14:textId="362D9E2E" w:rsidR="003C0A13" w:rsidRDefault="14CBD302" w:rsidP="3DE9AD76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</w:rPr>
      </w:pPr>
      <w:r w:rsidRPr="3DE9AD76"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  <w:t>Disabled Persons Assembly NZ</w:t>
      </w:r>
    </w:p>
    <w:p w14:paraId="67E52CD2" w14:textId="79701CA0" w:rsidR="003C0A13" w:rsidRDefault="003C0A13" w:rsidP="3DE9AD76">
      <w:pPr>
        <w:spacing w:before="120" w:after="120" w:line="276" w:lineRule="auto"/>
        <w:ind w:left="142" w:right="30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E856292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0F44ED6A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68D4C82B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72066D78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25CBD819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D6CD980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419A9F7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7814BD60" w14:textId="77777777" w:rsidR="00BA1EFC" w:rsidRDefault="00BA1EFC" w:rsidP="3DE9AD76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5CA298F5" w14:textId="779A5DFD" w:rsidR="003C0A13" w:rsidRDefault="14CBD302" w:rsidP="3DE9AD76">
      <w:pPr>
        <w:spacing w:line="360" w:lineRule="auto"/>
        <w:rPr>
          <w:rFonts w:ascii="Arial" w:eastAsia="Arial" w:hAnsi="Arial" w:cs="Arial"/>
          <w:color w:val="002060"/>
          <w:sz w:val="24"/>
          <w:szCs w:val="24"/>
        </w:rPr>
      </w:pPr>
      <w:r w:rsidRPr="3DE9AD76"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  <w:t>Contact:</w:t>
      </w:r>
    </w:p>
    <w:p w14:paraId="04D78BAB" w14:textId="1A17C4E8" w:rsidR="003C0A13" w:rsidRDefault="14CBD302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Chris Ford </w:t>
      </w:r>
    </w:p>
    <w:p w14:paraId="4B74425C" w14:textId="53ECC26D" w:rsidR="003C0A13" w:rsidRDefault="14CBD302" w:rsidP="3DE9AD76">
      <w:pPr>
        <w:spacing w:line="276" w:lineRule="auto"/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</w:pPr>
      <w:r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Regional Policy Advisor </w:t>
      </w:r>
    </w:p>
    <w:p w14:paraId="3D1B7C4B" w14:textId="3B561962" w:rsidR="00AE4003" w:rsidRDefault="00AE4003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Acting Kaituitui – Wellington Region</w:t>
      </w:r>
    </w:p>
    <w:p w14:paraId="432E55D0" w14:textId="69C6CF47" w:rsidR="003C0A13" w:rsidRDefault="14CBD302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027 696 0872</w:t>
      </w:r>
    </w:p>
    <w:p w14:paraId="130FDAA9" w14:textId="1A2792F3" w:rsidR="003C0A13" w:rsidRDefault="00050900" w:rsidP="3DE9AD76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hyperlink r:id="rId8">
        <w:r w:rsidR="14CBD302" w:rsidRPr="3DE9AD76">
          <w:rPr>
            <w:rStyle w:val="Hyperlink"/>
            <w:rFonts w:ascii="Arial Rounded MT Bold" w:eastAsia="Arial Rounded MT Bold" w:hAnsi="Arial Rounded MT Bold" w:cs="Arial Rounded MT Bold"/>
            <w:b/>
            <w:bCs/>
            <w:sz w:val="28"/>
            <w:szCs w:val="28"/>
            <w:lang w:val="en-NZ"/>
          </w:rPr>
          <w:t>chris.ford@dpa.org.nz</w:t>
        </w:r>
      </w:hyperlink>
      <w:r w:rsidR="14CBD302" w:rsidRPr="3DE9AD76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 </w:t>
      </w:r>
    </w:p>
    <w:p w14:paraId="3E6717B7" w14:textId="19848C3C" w:rsidR="003C0A13" w:rsidRPr="006A3419" w:rsidRDefault="14CBD302" w:rsidP="00416A33">
      <w:pPr>
        <w:pStyle w:val="Heading1"/>
        <w:spacing w:line="276" w:lineRule="auto"/>
        <w:ind w:right="306"/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  <w:r w:rsidRPr="3DE9AD76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>Introducing Disabled Persons Assembly</w:t>
      </w:r>
    </w:p>
    <w:p w14:paraId="2CD0A1ED" w14:textId="15F075F2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We work on systemic change for the equity of disabled </w:t>
      </w:r>
      <w:proofErr w:type="gramStart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people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10341B9A" w14:textId="1013FC14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Persons Assembly NZ (DPA) is a not-for-profit pan-impairment Disabled People’s </w:t>
      </w:r>
      <w:proofErr w:type="spell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Organisation</w:t>
      </w:r>
      <w:proofErr w:type="spell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run by and for disabled people.  </w:t>
      </w:r>
    </w:p>
    <w:p w14:paraId="63E7F359" w14:textId="20178880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</w:t>
      </w:r>
      <w:proofErr w:type="spellStart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recognise</w:t>
      </w:r>
      <w:proofErr w:type="spellEnd"/>
      <w:r w:rsidRPr="3DE9AD7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4A560956" w14:textId="2E03E37B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Māori as </w:t>
      </w:r>
      <w:proofErr w:type="spell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Tangata</w:t>
      </w:r>
      <w:proofErr w:type="spell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Whenua and </w:t>
      </w:r>
      <w:hyperlink r:id="rId9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Te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Tiriti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 o Waitangi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founding document of Aotearoa New Zealand;</w:t>
      </w:r>
    </w:p>
    <w:p w14:paraId="340BC670" w14:textId="5E7892A7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people as experts on their own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lives;</w:t>
      </w:r>
      <w:proofErr w:type="gramEnd"/>
    </w:p>
    <w:p w14:paraId="239BAB74" w14:textId="4C2BA838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0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Social Model of Disability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guiding principle for interpreting disability and </w:t>
      </w:r>
      <w:proofErr w:type="gramStart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impairment;</w:t>
      </w:r>
      <w:proofErr w:type="gramEnd"/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9F4FEED" w14:textId="2146735A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1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United Nations Convention on the Rights of Persons with Disabilities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basis for disabled people’s relationship with the State;</w:t>
      </w:r>
    </w:p>
    <w:p w14:paraId="32F66A61" w14:textId="54FA1ED8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2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New Zealand Disability Strategy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Government agencies’ guide on disability issues; and </w:t>
      </w:r>
    </w:p>
    <w:p w14:paraId="0D4CD9D5" w14:textId="0191EF19" w:rsidR="003C0A13" w:rsidRDefault="14CBD302" w:rsidP="3DE9AD7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3">
        <w:r w:rsidRPr="3DE9AD76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Enabling Good Lives Principles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, </w:t>
      </w:r>
      <w:hyperlink r:id="rId14"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Whāia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Te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Ao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Mārama: Māori Disability Action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and </w:t>
      </w:r>
      <w:hyperlink r:id="rId15"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Faiva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Ora: National Pasifika Disability </w:t>
        </w:r>
        <w:proofErr w:type="spellStart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Disability</w:t>
        </w:r>
        <w:proofErr w:type="spellEnd"/>
        <w:r w:rsidRPr="3DE9AD76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Plan</w:t>
        </w:r>
      </w:hyperlink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as avenues to disabled people gaining greater choice and control over their lives and supports. </w:t>
      </w:r>
    </w:p>
    <w:p w14:paraId="587ACBD6" w14:textId="6B2728AD" w:rsidR="003C0A13" w:rsidRDefault="14CBD302" w:rsidP="0D3AD599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drive systemic change through: </w:t>
      </w:r>
    </w:p>
    <w:p w14:paraId="7820E5DB" w14:textId="2A3D75AD" w:rsidR="003C0A13" w:rsidRDefault="14CBD302" w:rsidP="0D3AD599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Leadership: 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reflecting the collective voice of disabled people, locally, </w:t>
      </w:r>
      <w:proofErr w:type="gramStart"/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nationally</w:t>
      </w:r>
      <w:proofErr w:type="gramEnd"/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internationally. </w:t>
      </w:r>
    </w:p>
    <w:p w14:paraId="20699B7B" w14:textId="739F8FB2" w:rsidR="003C0A13" w:rsidRDefault="14CBD302" w:rsidP="0D3AD599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Information and advice: 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informing and advising on policies impacting on the lives of disabled people.</w:t>
      </w:r>
    </w:p>
    <w:p w14:paraId="335DBCFA" w14:textId="6E9D2864" w:rsidR="003C0A13" w:rsidRDefault="14CBD302" w:rsidP="0D3AD599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Advocacy: 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supporting disabled people to have a voice, including a collective voice, in society.</w:t>
      </w:r>
    </w:p>
    <w:p w14:paraId="79B8F367" w14:textId="160554D4" w:rsidR="003C0A13" w:rsidRDefault="14CBD302" w:rsidP="0D3AD599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Monitoring: 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monitoring and giving feedback on existing laws, </w:t>
      </w:r>
      <w:proofErr w:type="gramStart"/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policies</w:t>
      </w:r>
      <w:proofErr w:type="gramEnd"/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practices about and relevant to disabled people.</w:t>
      </w:r>
    </w:p>
    <w:p w14:paraId="0B0FDB61" w14:textId="2B756179" w:rsidR="003C0A13" w:rsidRDefault="14CBD302" w:rsidP="3DE9AD76">
      <w:pPr>
        <w:pStyle w:val="Heading1"/>
        <w:spacing w:line="360" w:lineRule="auto"/>
        <w:ind w:left="-567" w:right="306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0D3AD599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br w:type="page"/>
      </w:r>
      <w:r w:rsidRPr="0D3AD599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 xml:space="preserve">The submission </w:t>
      </w:r>
    </w:p>
    <w:p w14:paraId="53721690" w14:textId="7AC81C8B" w:rsidR="003C0A13" w:rsidRDefault="14CBD302" w:rsidP="2E72EEB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is providing this submission for the benefit of the </w:t>
      </w:r>
      <w:r w:rsidR="1DBE6D25" w:rsidRPr="2E72EEB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Wellington City Council in its consideration of the </w:t>
      </w:r>
      <w:r w:rsidR="1DBE6D2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Wellington Botanic Garden ki </w:t>
      </w:r>
      <w:proofErr w:type="spellStart"/>
      <w:r w:rsidR="1DBE6D2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Paekākā</w:t>
      </w:r>
      <w:proofErr w:type="spellEnd"/>
      <w:r w:rsidR="1DBE6D2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play area renewal. </w:t>
      </w:r>
    </w:p>
    <w:p w14:paraId="13B6CD11" w14:textId="71FC79FF" w:rsidR="0041701D" w:rsidRDefault="1DBE6D25" w:rsidP="0041701D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DPA supports the renewal of the playground and finds there is much to commend in the proposed changes</w:t>
      </w:r>
      <w:r w:rsidR="00AF188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from a disability perspective</w:t>
      </w: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. We are very pleased to see inclusive features added including a high-backed swing, sensory </w:t>
      </w:r>
      <w:r w:rsidR="26485031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board</w:t>
      </w: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,</w:t>
      </w:r>
      <w:r w:rsidR="50975974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1E0E62A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communication board</w:t>
      </w:r>
      <w:r w:rsidR="027B67ED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in-ground tramp</w:t>
      </w:r>
      <w:r w:rsidR="00657491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oline</w:t>
      </w:r>
      <w:r w:rsidR="027B67ED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,</w:t>
      </w:r>
      <w:r w:rsidR="63F30A38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all</w:t>
      </w:r>
      <w:r w:rsidR="027B67ED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equipment which can be used by everyone, including disabled children.</w:t>
      </w:r>
      <w:r w:rsidR="0041701D" w:rsidRPr="0041701D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784BB983" w14:textId="10728075" w:rsidR="0041701D" w:rsidRDefault="0041701D" w:rsidP="0041701D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</w:t>
      </w:r>
      <w:r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recommends </w:t>
      </w: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addition of more inclusive play equipment to ensure that disabled children can have more complementary, accessible play options available given that not all the play equipment can be</w:t>
      </w:r>
      <w:r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independently</w:t>
      </w: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accessed, for example, by children using wheelchairs or mobility equipment.</w:t>
      </w:r>
    </w:p>
    <w:p w14:paraId="0D15FB2B" w14:textId="6B93CE71" w:rsidR="003C0A13" w:rsidRDefault="689A1BEA" w:rsidP="2E72EEB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</w:t>
      </w:r>
      <w:r w:rsidR="436B6E9B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recommends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the placement of tactile strips which would enable both blind and low vision adults and children the ability to navigate more easily around the </w:t>
      </w:r>
      <w:r w:rsidR="21232A2A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playground.</w:t>
      </w:r>
    </w:p>
    <w:p w14:paraId="01D15AA0" w14:textId="520AAB3D" w:rsidR="003C0A13" w:rsidRDefault="0147C47F" w:rsidP="2E72EEB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</w:t>
      </w:r>
      <w:r w:rsidR="3F038B37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recommends that any future focus groups on playground projects involve disable</w:t>
      </w:r>
      <w:r w:rsidR="45FBB26E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d children/</w:t>
      </w:r>
      <w:proofErr w:type="spellStart"/>
      <w:r w:rsidR="45FBB26E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45FBB26E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family/whanau representatives of disabled children </w:t>
      </w:r>
      <w:r w:rsidR="66A93FD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so that feedback is </w:t>
      </w:r>
      <w:r w:rsidR="001175EB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acquired</w:t>
      </w:r>
      <w:r w:rsidR="66A93FD5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on how to make all playgrounds inclusive and accessible places going forward.</w:t>
      </w:r>
    </w:p>
    <w:p w14:paraId="774A03E0" w14:textId="1F52570B" w:rsidR="003C0A13" w:rsidRDefault="14CBD302" w:rsidP="2E72EEBA">
      <w:pPr>
        <w:spacing w:line="360" w:lineRule="auto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2E72EEBA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t>DPA’s recommendations</w:t>
      </w:r>
    </w:p>
    <w:p w14:paraId="7D460494" w14:textId="0129C10C" w:rsidR="003C0A13" w:rsidRDefault="14CBD302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DE9AD76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Disabled Person’s Assembly recommends:</w:t>
      </w:r>
    </w:p>
    <w:p w14:paraId="531B1008" w14:textId="7B570B26" w:rsidR="003C0A13" w:rsidRPr="00223528" w:rsidRDefault="14CBD302" w:rsidP="0022352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Recommendation 1: </w:t>
      </w:r>
      <w:r w:rsidR="000B4AD9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addition of more inclusive play equipment to ensure that disabled children can have more complementary, accessible play options available</w:t>
      </w:r>
      <w:r w:rsidR="2E75B5C0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.</w:t>
      </w:r>
    </w:p>
    <w:p w14:paraId="5621B9D0" w14:textId="31D2D8B0" w:rsidR="00441BA7" w:rsidRDefault="14CBD302" w:rsidP="00441BA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D3AD59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Recommendation 2:</w:t>
      </w:r>
      <w:r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00441BA7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the placement of tactile strips </w:t>
      </w:r>
      <w:r w:rsidR="763766F2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</w:t>
      </w:r>
      <w:r w:rsidR="00441BA7" w:rsidRPr="0D3AD59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enable blind and low vision adults and children to navigate more easily around the playground.</w:t>
      </w:r>
    </w:p>
    <w:p w14:paraId="2D88E7AE" w14:textId="675CBF00" w:rsidR="00D04B1F" w:rsidRPr="00D04B1F" w:rsidRDefault="00D04B1F" w:rsidP="0D3AD599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00D04B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Recommendation </w:t>
      </w:r>
      <w:r w:rsidR="7139E627" w:rsidRPr="00D04B1F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D04B1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435635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that future focus groups on playground projects involve disabled children/</w:t>
      </w:r>
      <w:proofErr w:type="spellStart"/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tamariki</w:t>
      </w:r>
      <w:proofErr w:type="spellEnd"/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family/whanau representatives of disabled children </w:t>
      </w:r>
      <w:r w:rsidR="464E3CF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for </w:t>
      </w:r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feedback o</w:t>
      </w:r>
      <w:r w:rsidR="5F0C35E8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</w:t>
      </w:r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mak</w:t>
      </w:r>
      <w:r w:rsidR="414411BE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ing</w:t>
      </w:r>
      <w:r w:rsidR="04356350" w:rsidRPr="2E72EEB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all playgrounds inclusive and accessible places going forward.</w:t>
      </w:r>
    </w:p>
    <w:p w14:paraId="105E5F70" w14:textId="1F2BABDD" w:rsidR="003C0A13" w:rsidRDefault="003C0A13" w:rsidP="3DE9AD76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5787A5" w14:textId="034CCFE9" w:rsidR="003C0A13" w:rsidRDefault="003C0A13" w:rsidP="3DE9AD76"/>
    <w:sectPr w:rsidR="003C0A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3607E"/>
    <w:multiLevelType w:val="hybridMultilevel"/>
    <w:tmpl w:val="CCDE00FC"/>
    <w:lvl w:ilvl="0" w:tplc="247E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4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2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3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1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3340A"/>
    <w:multiLevelType w:val="hybridMultilevel"/>
    <w:tmpl w:val="33FCCCD2"/>
    <w:lvl w:ilvl="0" w:tplc="1D4E8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6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4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9958">
    <w:abstractNumId w:val="0"/>
  </w:num>
  <w:num w:numId="2" w16cid:durableId="147124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DFD5E"/>
    <w:rsid w:val="00050900"/>
    <w:rsid w:val="000B4AD9"/>
    <w:rsid w:val="000C4EA7"/>
    <w:rsid w:val="001175EB"/>
    <w:rsid w:val="00132D13"/>
    <w:rsid w:val="001C54BA"/>
    <w:rsid w:val="001F4A44"/>
    <w:rsid w:val="00223528"/>
    <w:rsid w:val="002F727B"/>
    <w:rsid w:val="003C0A13"/>
    <w:rsid w:val="00416A33"/>
    <w:rsid w:val="0041701D"/>
    <w:rsid w:val="00441BA7"/>
    <w:rsid w:val="00571683"/>
    <w:rsid w:val="00657491"/>
    <w:rsid w:val="006A3419"/>
    <w:rsid w:val="008D71A2"/>
    <w:rsid w:val="009B7416"/>
    <w:rsid w:val="00AA6D51"/>
    <w:rsid w:val="00AE4003"/>
    <w:rsid w:val="00AF1889"/>
    <w:rsid w:val="00BA1EFC"/>
    <w:rsid w:val="00BC5A6C"/>
    <w:rsid w:val="00C750F3"/>
    <w:rsid w:val="00C96555"/>
    <w:rsid w:val="00CF2000"/>
    <w:rsid w:val="00D04B1F"/>
    <w:rsid w:val="00D818FA"/>
    <w:rsid w:val="00F21D6D"/>
    <w:rsid w:val="00FB2EE3"/>
    <w:rsid w:val="0147C47F"/>
    <w:rsid w:val="027B67ED"/>
    <w:rsid w:val="03D13DD2"/>
    <w:rsid w:val="03D66521"/>
    <w:rsid w:val="03EDFC9C"/>
    <w:rsid w:val="04356350"/>
    <w:rsid w:val="05723582"/>
    <w:rsid w:val="06B44065"/>
    <w:rsid w:val="06DD09BC"/>
    <w:rsid w:val="085010C6"/>
    <w:rsid w:val="0954A9E9"/>
    <w:rsid w:val="0959D138"/>
    <w:rsid w:val="0BE17706"/>
    <w:rsid w:val="0D3AD599"/>
    <w:rsid w:val="14250A8D"/>
    <w:rsid w:val="14CBD302"/>
    <w:rsid w:val="1DBE6D25"/>
    <w:rsid w:val="1E0E62A5"/>
    <w:rsid w:val="21232A2A"/>
    <w:rsid w:val="21CE7626"/>
    <w:rsid w:val="26485031"/>
    <w:rsid w:val="275D3F52"/>
    <w:rsid w:val="281CD593"/>
    <w:rsid w:val="29B8A5F4"/>
    <w:rsid w:val="2A47730C"/>
    <w:rsid w:val="2E72EEBA"/>
    <w:rsid w:val="2E75B5C0"/>
    <w:rsid w:val="2E8C1717"/>
    <w:rsid w:val="313C8C82"/>
    <w:rsid w:val="326D1B78"/>
    <w:rsid w:val="34FB589B"/>
    <w:rsid w:val="367E009F"/>
    <w:rsid w:val="3693E0CF"/>
    <w:rsid w:val="3819D100"/>
    <w:rsid w:val="389213CD"/>
    <w:rsid w:val="3AB20CB4"/>
    <w:rsid w:val="3DE9AD76"/>
    <w:rsid w:val="3F038B37"/>
    <w:rsid w:val="414411BE"/>
    <w:rsid w:val="436B6E9B"/>
    <w:rsid w:val="45FBB26E"/>
    <w:rsid w:val="464E3CF0"/>
    <w:rsid w:val="467FE490"/>
    <w:rsid w:val="477A8D73"/>
    <w:rsid w:val="47944933"/>
    <w:rsid w:val="486E451D"/>
    <w:rsid w:val="49AC1335"/>
    <w:rsid w:val="4E07BEC6"/>
    <w:rsid w:val="4F187E6F"/>
    <w:rsid w:val="4F280A39"/>
    <w:rsid w:val="50975974"/>
    <w:rsid w:val="513F5F88"/>
    <w:rsid w:val="522A464F"/>
    <w:rsid w:val="558F4CEA"/>
    <w:rsid w:val="55CBBC26"/>
    <w:rsid w:val="572B1D4B"/>
    <w:rsid w:val="5B517D8D"/>
    <w:rsid w:val="5CDDFD5E"/>
    <w:rsid w:val="5F0C35E8"/>
    <w:rsid w:val="613CD49B"/>
    <w:rsid w:val="63F30A38"/>
    <w:rsid w:val="66A93FD5"/>
    <w:rsid w:val="67492E9B"/>
    <w:rsid w:val="680A2088"/>
    <w:rsid w:val="689A1BEA"/>
    <w:rsid w:val="68E4FEFC"/>
    <w:rsid w:val="6A901E39"/>
    <w:rsid w:val="6FAE05FE"/>
    <w:rsid w:val="7138370E"/>
    <w:rsid w:val="7139E627"/>
    <w:rsid w:val="7149D65F"/>
    <w:rsid w:val="763766F2"/>
    <w:rsid w:val="76F7E218"/>
    <w:rsid w:val="7893B279"/>
    <w:rsid w:val="7E7B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FD5E"/>
  <w15:chartTrackingRefBased/>
  <w15:docId w15:val="{0CC3D049-89C1-441B-9E7D-3E261C9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DE9AD76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ford@dpa.org.nz" TargetMode="External"/><Relationship Id="rId13" Type="http://schemas.openxmlformats.org/officeDocument/2006/relationships/hyperlink" Target="https://www.enablinggoodlives.co.nz/about-egl/egl-approach/principl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di.govt.nz/nz-disability-strateg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development/desa/disabilities/convention-on-the-rights-of-persons-with-disabiliti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10" Type="http://schemas.openxmlformats.org/officeDocument/2006/relationships/hyperlink" Target="https://www.odi.govt.nz/guidance-and-resources/guidance-for-policy-mak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rchives.govt.nz/discover-our-stories/the-treaty-of-waitangi" TargetMode="External"/><Relationship Id="rId14" Type="http://schemas.openxmlformats.org/officeDocument/2006/relationships/hyperlink" Target="https://www.health.govt.nz/publication/whaia-te-ao-marama-2018-2022-maori-disability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12E2D-54F4-49B5-B90B-BBD6A5C9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9C064-534D-46F0-9418-DC83ED025C7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2301f34-5cde-48a5-92d5-a0089b6a6a0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7b1871-600f-4b9e-a4b1-ab314be2ee20"/>
  </ds:schemaRefs>
</ds:datastoreItem>
</file>

<file path=customXml/itemProps3.xml><?xml version="1.0" encoding="utf-8"?>
<ds:datastoreItem xmlns:ds="http://schemas.openxmlformats.org/officeDocument/2006/customXml" ds:itemID="{AC6E8305-2ACD-4255-8A58-789AC768A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Emily Tilley</cp:lastModifiedBy>
  <cp:revision>2</cp:revision>
  <dcterms:created xsi:type="dcterms:W3CDTF">2023-02-04T21:31:00Z</dcterms:created>
  <dcterms:modified xsi:type="dcterms:W3CDTF">2023-02-04T21:31:00Z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