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203CD61D" w:rsidR="00587C7D" w:rsidRPr="005244AE" w:rsidRDefault="008344B8" w:rsidP="00E9298B">
      <w:r>
        <w:t>July 2021</w:t>
      </w:r>
    </w:p>
    <w:p w14:paraId="713BEF40" w14:textId="77777777" w:rsidR="00587C7D" w:rsidRPr="005244AE" w:rsidRDefault="00587C7D" w:rsidP="00E9298B"/>
    <w:p w14:paraId="23566296" w14:textId="77777777" w:rsidR="00587C7D" w:rsidRPr="005244AE" w:rsidRDefault="00587C7D" w:rsidP="00E9298B"/>
    <w:p w14:paraId="4410E38B" w14:textId="66B80657" w:rsidR="000A33E1" w:rsidRDefault="00587C7D" w:rsidP="00E9298B">
      <w:r w:rsidRPr="005244AE">
        <w:t>T</w:t>
      </w:r>
      <w:r w:rsidR="008344B8">
        <w:t>o the Department of Housing and Urban Development</w:t>
      </w:r>
    </w:p>
    <w:p w14:paraId="3CD83064" w14:textId="77777777" w:rsidR="00750041" w:rsidRPr="005244AE" w:rsidRDefault="00750041" w:rsidP="00E9298B"/>
    <w:p w14:paraId="56F6172C" w14:textId="04AF4A96" w:rsidR="00587C7D" w:rsidRDefault="00587C7D" w:rsidP="00E9298B">
      <w:r w:rsidRPr="000A33E1">
        <w:t xml:space="preserve">Please find </w:t>
      </w:r>
      <w:r w:rsidR="008344B8">
        <w:t>below</w:t>
      </w:r>
      <w:r w:rsidR="000A33E1" w:rsidRPr="000A33E1">
        <w:t xml:space="preserve"> DPA’s</w:t>
      </w:r>
      <w:r w:rsidRPr="000A33E1">
        <w:t xml:space="preserve"> submission</w:t>
      </w:r>
      <w:r w:rsidR="008443CB">
        <w:t xml:space="preserve"> </w:t>
      </w:r>
      <w:r w:rsidR="008E541D">
        <w:t>on</w:t>
      </w:r>
      <w:r w:rsidR="008344B8">
        <w:t xml:space="preserve"> the Housing and Urban Development Discussion Paper on the Government Policy Statement</w:t>
      </w:r>
    </w:p>
    <w:p w14:paraId="39E3DE5B" w14:textId="77777777" w:rsidR="008443CB" w:rsidRDefault="008443CB" w:rsidP="000A33E1">
      <w:pPr>
        <w:rPr>
          <w:rFonts w:cs="Arial"/>
        </w:rPr>
      </w:pPr>
    </w:p>
    <w:p w14:paraId="294F633F" w14:textId="77777777" w:rsidR="00EF44E1" w:rsidRPr="00073F0E" w:rsidRDefault="00EF44E1" w:rsidP="00750041">
      <w:pPr>
        <w:pStyle w:val="NormalWeb"/>
        <w:shd w:val="clear" w:color="auto" w:fill="FFFFFF"/>
        <w:spacing w:before="360" w:beforeAutospacing="0" w:after="120" w:afterAutospacing="0" w:line="276" w:lineRule="auto"/>
        <w:ind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574D50"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3EA45349" w:rsidR="003E3C38" w:rsidRPr="00F90077" w:rsidRDefault="3E97B324" w:rsidP="003E3C38">
      <w:pPr>
        <w:rPr>
          <w:rFonts w:cs="Arial"/>
        </w:rPr>
      </w:pPr>
      <w:r w:rsidRPr="3E97B324">
        <w:rPr>
          <w:rFonts w:cs="Arial"/>
        </w:rPr>
        <w:t xml:space="preserve">The Disabled Persons Assembly NZ (DPA) is a pan-impairment disabled person’s organisation that works to realise an equitable society, where all disabled people (of all impairment types and including women, Māori, Pasifika, young people) </w:t>
      </w:r>
      <w:proofErr w:type="gramStart"/>
      <w:r w:rsidRPr="3E97B324">
        <w:rPr>
          <w:rFonts w:cs="Arial"/>
        </w:rPr>
        <w:t>are able to</w:t>
      </w:r>
      <w:proofErr w:type="gramEnd"/>
      <w:r w:rsidRPr="3E97B324">
        <w:rPr>
          <w:rFonts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0B9C9C06" w14:textId="77777777" w:rsidR="003E3C38" w:rsidRPr="00F90077" w:rsidRDefault="003E3C38" w:rsidP="003E3C38">
      <w:pPr>
        <w:pStyle w:val="ListParagraph"/>
        <w:numPr>
          <w:ilvl w:val="0"/>
          <w:numId w:val="2"/>
        </w:numPr>
        <w:spacing w:after="160"/>
        <w:rPr>
          <w:rFonts w:cs="Arial"/>
        </w:rPr>
      </w:pPr>
      <w:r w:rsidRPr="00F90077">
        <w:rPr>
          <w:rFonts w:cs="Arial"/>
        </w:rPr>
        <w:t>celebrating innovation and good practice</w:t>
      </w:r>
    </w:p>
    <w:p w14:paraId="1368214B" w14:textId="7FF0E7BC" w:rsidR="00634AEC" w:rsidRPr="006F2712" w:rsidRDefault="004D53A5" w:rsidP="004D53A5">
      <w:pPr>
        <w:pStyle w:val="Heading1"/>
      </w:pPr>
      <w:r>
        <w:t xml:space="preserve">The submission </w:t>
      </w:r>
    </w:p>
    <w:p w14:paraId="7D147F09" w14:textId="213165B2" w:rsidR="008344B8" w:rsidRDefault="3E97B324" w:rsidP="008344B8">
      <w:r>
        <w:t xml:space="preserve">DPA is supportive of Government issuing a </w:t>
      </w:r>
      <w:proofErr w:type="gramStart"/>
      <w:r>
        <w:t>General Purpose</w:t>
      </w:r>
      <w:proofErr w:type="gramEnd"/>
      <w:r>
        <w:t xml:space="preserve"> Statement (GPS) on Housing and Urban Development (HUD) in order to try and ensure that all the players in the areas of housing and urban development are working in a mutually beneficial way to ensure better houses, urban spaces and infrastructure for all New Zealanders. </w:t>
      </w:r>
    </w:p>
    <w:p w14:paraId="189193D3" w14:textId="09166D04" w:rsidR="004D53A5" w:rsidRDefault="3E97B324" w:rsidP="008E541D">
      <w:r>
        <w:t xml:space="preserve">However, DPA does not see the needs of disabled people reflected in the consultation document: disabled people, and in particular our needs for accessible housing, urban spaces and infrastructure are largely absent and this needs to be fixed. </w:t>
      </w:r>
    </w:p>
    <w:p w14:paraId="3D5B5AAC" w14:textId="05F26A40" w:rsidR="003E3C38" w:rsidRDefault="00A822AA" w:rsidP="004D53A5">
      <w:pPr>
        <w:pStyle w:val="Heading1"/>
      </w:pPr>
      <w:r>
        <w:t>The United Nations Convention on the Rights of Persons with Disabilities (UNCRPD)</w:t>
      </w:r>
    </w:p>
    <w:p w14:paraId="3333E55F" w14:textId="4189BEBA" w:rsidR="004D53A5" w:rsidRDefault="00A822AA" w:rsidP="003E3C38">
      <w:pPr>
        <w:rPr>
          <w:rFonts w:cs="Arial"/>
        </w:rPr>
      </w:pPr>
      <w:r>
        <w:rPr>
          <w:rFonts w:cs="Arial"/>
        </w:rPr>
        <w:t>Many of the articles and principles contained in the UNCRPD are relevant to the</w:t>
      </w:r>
      <w:r w:rsidR="00605F13">
        <w:rPr>
          <w:rFonts w:cs="Arial"/>
        </w:rPr>
        <w:t xml:space="preserve"> </w:t>
      </w:r>
      <w:r>
        <w:rPr>
          <w:rFonts w:cs="Arial"/>
        </w:rPr>
        <w:t>GPS on H</w:t>
      </w:r>
      <w:r w:rsidR="00605F13">
        <w:rPr>
          <w:rFonts w:cs="Arial"/>
        </w:rPr>
        <w:t>UD</w:t>
      </w:r>
      <w:r>
        <w:rPr>
          <w:rFonts w:cs="Arial"/>
        </w:rPr>
        <w:t>.  We highlight those most relevant below:</w:t>
      </w:r>
    </w:p>
    <w:p w14:paraId="01FAC122" w14:textId="71734D24" w:rsidR="00A822AA" w:rsidRDefault="00A822AA" w:rsidP="003A36B0">
      <w:pPr>
        <w:spacing w:line="240" w:lineRule="auto"/>
        <w:rPr>
          <w:rFonts w:cs="Arial"/>
          <w:b/>
          <w:bCs/>
        </w:rPr>
      </w:pPr>
      <w:r>
        <w:rPr>
          <w:rFonts w:cs="Arial"/>
          <w:b/>
          <w:bCs/>
        </w:rPr>
        <w:lastRenderedPageBreak/>
        <w:t xml:space="preserve">Article 3 </w:t>
      </w:r>
      <w:r w:rsidR="003A36B0">
        <w:rPr>
          <w:rFonts w:cs="Arial"/>
          <w:b/>
          <w:bCs/>
        </w:rPr>
        <w:tab/>
      </w:r>
      <w:r>
        <w:rPr>
          <w:rFonts w:cs="Arial"/>
          <w:b/>
          <w:bCs/>
        </w:rPr>
        <w:t>– General Principles:</w:t>
      </w:r>
    </w:p>
    <w:p w14:paraId="7728F77D" w14:textId="72C842F7" w:rsidR="00A822AA" w:rsidRPr="00A822AA" w:rsidRDefault="00A822AA" w:rsidP="00A822AA">
      <w:pPr>
        <w:pStyle w:val="ListParagraph"/>
        <w:numPr>
          <w:ilvl w:val="0"/>
          <w:numId w:val="15"/>
        </w:numPr>
        <w:spacing w:line="276" w:lineRule="auto"/>
        <w:rPr>
          <w:rFonts w:cs="Arial"/>
          <w:b/>
          <w:bCs/>
        </w:rPr>
      </w:pPr>
      <w:r>
        <w:rPr>
          <w:rFonts w:cs="Arial"/>
        </w:rPr>
        <w:t xml:space="preserve">Respect for inherent dignity, individual autonomy including the freedom to make one’s own choices, and independence of </w:t>
      </w:r>
      <w:proofErr w:type="gramStart"/>
      <w:r>
        <w:rPr>
          <w:rFonts w:cs="Arial"/>
        </w:rPr>
        <w:t>persons;</w:t>
      </w:r>
      <w:proofErr w:type="gramEnd"/>
    </w:p>
    <w:p w14:paraId="07BE0282" w14:textId="49494E7B" w:rsidR="00A822AA" w:rsidRPr="00A822AA" w:rsidRDefault="00A822AA" w:rsidP="00A822AA">
      <w:pPr>
        <w:pStyle w:val="ListParagraph"/>
        <w:numPr>
          <w:ilvl w:val="0"/>
          <w:numId w:val="15"/>
        </w:numPr>
        <w:spacing w:line="276" w:lineRule="auto"/>
        <w:rPr>
          <w:rFonts w:cs="Arial"/>
          <w:b/>
          <w:bCs/>
        </w:rPr>
      </w:pPr>
      <w:proofErr w:type="gramStart"/>
      <w:r>
        <w:rPr>
          <w:rFonts w:cs="Arial"/>
        </w:rPr>
        <w:t>Non-discrimination;</w:t>
      </w:r>
      <w:proofErr w:type="gramEnd"/>
    </w:p>
    <w:p w14:paraId="1C549B9A" w14:textId="00B233A0" w:rsidR="00A822AA" w:rsidRPr="00A822AA" w:rsidRDefault="00A822AA" w:rsidP="00A822AA">
      <w:pPr>
        <w:pStyle w:val="ListParagraph"/>
        <w:numPr>
          <w:ilvl w:val="0"/>
          <w:numId w:val="15"/>
        </w:numPr>
        <w:spacing w:line="276" w:lineRule="auto"/>
        <w:rPr>
          <w:rFonts w:cs="Arial"/>
          <w:b/>
          <w:bCs/>
        </w:rPr>
      </w:pPr>
      <w:r>
        <w:rPr>
          <w:rFonts w:cs="Arial"/>
        </w:rPr>
        <w:t xml:space="preserve">Full and effective participation and inclusion in </w:t>
      </w:r>
      <w:proofErr w:type="gramStart"/>
      <w:r>
        <w:rPr>
          <w:rFonts w:cs="Arial"/>
        </w:rPr>
        <w:t>society;</w:t>
      </w:r>
      <w:proofErr w:type="gramEnd"/>
    </w:p>
    <w:p w14:paraId="4F732EC1" w14:textId="15BD2F30" w:rsidR="00A822AA" w:rsidRPr="00A822AA" w:rsidRDefault="00A822AA" w:rsidP="00A822AA">
      <w:pPr>
        <w:pStyle w:val="ListParagraph"/>
        <w:numPr>
          <w:ilvl w:val="0"/>
          <w:numId w:val="15"/>
        </w:numPr>
        <w:spacing w:line="276" w:lineRule="auto"/>
        <w:rPr>
          <w:rFonts w:cs="Arial"/>
          <w:b/>
          <w:bCs/>
        </w:rPr>
      </w:pPr>
      <w:r>
        <w:rPr>
          <w:rFonts w:cs="Arial"/>
        </w:rPr>
        <w:t xml:space="preserve">Respect for difference and acceptance of persons with disabilities as part of human diversity and </w:t>
      </w:r>
      <w:proofErr w:type="gramStart"/>
      <w:r>
        <w:rPr>
          <w:rFonts w:cs="Arial"/>
        </w:rPr>
        <w:t>humanity;</w:t>
      </w:r>
      <w:proofErr w:type="gramEnd"/>
    </w:p>
    <w:p w14:paraId="15C7F1EC" w14:textId="3F1782BE" w:rsidR="00A822AA" w:rsidRPr="003A36B0" w:rsidRDefault="003A36B0" w:rsidP="00A822AA">
      <w:pPr>
        <w:pStyle w:val="ListParagraph"/>
        <w:numPr>
          <w:ilvl w:val="0"/>
          <w:numId w:val="15"/>
        </w:numPr>
        <w:spacing w:line="276" w:lineRule="auto"/>
        <w:rPr>
          <w:rFonts w:cs="Arial"/>
          <w:b/>
          <w:bCs/>
        </w:rPr>
      </w:pPr>
      <w:r>
        <w:rPr>
          <w:rFonts w:cs="Arial"/>
        </w:rPr>
        <w:t xml:space="preserve">Equality of </w:t>
      </w:r>
      <w:proofErr w:type="gramStart"/>
      <w:r>
        <w:rPr>
          <w:rFonts w:cs="Arial"/>
        </w:rPr>
        <w:t>opportunity;</w:t>
      </w:r>
      <w:proofErr w:type="gramEnd"/>
    </w:p>
    <w:p w14:paraId="03FF9BA1" w14:textId="7A705AA8" w:rsidR="003A36B0" w:rsidRPr="003A36B0" w:rsidRDefault="003A36B0" w:rsidP="00A822AA">
      <w:pPr>
        <w:pStyle w:val="ListParagraph"/>
        <w:numPr>
          <w:ilvl w:val="0"/>
          <w:numId w:val="15"/>
        </w:numPr>
        <w:spacing w:line="276" w:lineRule="auto"/>
        <w:rPr>
          <w:rFonts w:cs="Arial"/>
          <w:b/>
          <w:bCs/>
        </w:rPr>
      </w:pPr>
      <w:proofErr w:type="gramStart"/>
      <w:r>
        <w:rPr>
          <w:rFonts w:cs="Arial"/>
        </w:rPr>
        <w:t>Accessibility;</w:t>
      </w:r>
      <w:proofErr w:type="gramEnd"/>
    </w:p>
    <w:p w14:paraId="4352D053" w14:textId="39B09CAD" w:rsidR="003A36B0" w:rsidRPr="003A36B0" w:rsidRDefault="003A36B0" w:rsidP="00A822AA">
      <w:pPr>
        <w:pStyle w:val="ListParagraph"/>
        <w:numPr>
          <w:ilvl w:val="0"/>
          <w:numId w:val="15"/>
        </w:numPr>
        <w:spacing w:line="276" w:lineRule="auto"/>
        <w:rPr>
          <w:rFonts w:cs="Arial"/>
          <w:b/>
          <w:bCs/>
        </w:rPr>
      </w:pPr>
      <w:r>
        <w:rPr>
          <w:rFonts w:cs="Arial"/>
        </w:rPr>
        <w:t xml:space="preserve">Equality between men and </w:t>
      </w:r>
      <w:proofErr w:type="gramStart"/>
      <w:r>
        <w:rPr>
          <w:rFonts w:cs="Arial"/>
        </w:rPr>
        <w:t>women;</w:t>
      </w:r>
      <w:proofErr w:type="gramEnd"/>
    </w:p>
    <w:p w14:paraId="47776E44" w14:textId="4945B5F8" w:rsidR="003A36B0" w:rsidRPr="003A36B0" w:rsidRDefault="003A36B0" w:rsidP="00A822AA">
      <w:pPr>
        <w:pStyle w:val="ListParagraph"/>
        <w:numPr>
          <w:ilvl w:val="0"/>
          <w:numId w:val="15"/>
        </w:numPr>
        <w:spacing w:line="276" w:lineRule="auto"/>
        <w:rPr>
          <w:rFonts w:cs="Arial"/>
          <w:b/>
          <w:bCs/>
        </w:rPr>
      </w:pPr>
      <w:r>
        <w:rPr>
          <w:rFonts w:cs="Arial"/>
        </w:rPr>
        <w:t>Respect for the evolving capacities of children with disabilities and respect for the right of children with disabilities to preserve their identities.</w:t>
      </w:r>
    </w:p>
    <w:p w14:paraId="1262C7EF" w14:textId="6F634447" w:rsidR="003A36B0" w:rsidRDefault="003A36B0" w:rsidP="003A36B0">
      <w:pPr>
        <w:rPr>
          <w:rFonts w:cs="Arial"/>
          <w:b/>
          <w:bCs/>
        </w:rPr>
      </w:pPr>
      <w:r>
        <w:rPr>
          <w:rFonts w:cs="Arial"/>
          <w:b/>
          <w:bCs/>
        </w:rPr>
        <w:t xml:space="preserve">Article 4.3 </w:t>
      </w:r>
      <w:r>
        <w:rPr>
          <w:rFonts w:cs="Arial"/>
          <w:b/>
          <w:bCs/>
        </w:rPr>
        <w:tab/>
        <w:t>– Actively engage with organisations of disabled people</w:t>
      </w:r>
    </w:p>
    <w:p w14:paraId="522CBF93" w14:textId="4E3F4EB4" w:rsidR="003A36B0" w:rsidRDefault="003A36B0" w:rsidP="003A36B0">
      <w:pPr>
        <w:rPr>
          <w:rFonts w:cs="Arial"/>
          <w:b/>
          <w:bCs/>
        </w:rPr>
      </w:pPr>
      <w:r>
        <w:rPr>
          <w:rFonts w:cs="Arial"/>
          <w:b/>
          <w:bCs/>
        </w:rPr>
        <w:t xml:space="preserve">Article 9 </w:t>
      </w:r>
      <w:r>
        <w:rPr>
          <w:rFonts w:cs="Arial"/>
          <w:b/>
          <w:bCs/>
        </w:rPr>
        <w:tab/>
        <w:t>– Accessibility</w:t>
      </w:r>
    </w:p>
    <w:p w14:paraId="603CE2C3" w14:textId="6DBB336B" w:rsidR="003A36B0" w:rsidRDefault="003A36B0" w:rsidP="003A36B0">
      <w:pPr>
        <w:rPr>
          <w:rFonts w:cs="Arial"/>
          <w:b/>
          <w:bCs/>
        </w:rPr>
      </w:pPr>
      <w:r>
        <w:rPr>
          <w:rFonts w:cs="Arial"/>
          <w:b/>
          <w:bCs/>
        </w:rPr>
        <w:t xml:space="preserve">Article 19 </w:t>
      </w:r>
      <w:r>
        <w:rPr>
          <w:rFonts w:cs="Arial"/>
          <w:b/>
          <w:bCs/>
        </w:rPr>
        <w:tab/>
        <w:t>– Living independently and being included in the community</w:t>
      </w:r>
    </w:p>
    <w:p w14:paraId="5213970F" w14:textId="2F0B43FC" w:rsidR="003A36B0" w:rsidRDefault="003A36B0" w:rsidP="003A36B0">
      <w:pPr>
        <w:rPr>
          <w:rFonts w:cs="Arial"/>
          <w:b/>
          <w:bCs/>
        </w:rPr>
      </w:pPr>
      <w:r>
        <w:rPr>
          <w:rFonts w:cs="Arial"/>
          <w:b/>
          <w:bCs/>
        </w:rPr>
        <w:t xml:space="preserve">Article 28 </w:t>
      </w:r>
      <w:r>
        <w:rPr>
          <w:rFonts w:cs="Arial"/>
          <w:b/>
          <w:bCs/>
        </w:rPr>
        <w:tab/>
        <w:t>– Adequate standard of living and social protection</w:t>
      </w:r>
    </w:p>
    <w:p w14:paraId="79CDB23F" w14:textId="5D17140D" w:rsidR="00F51759" w:rsidRDefault="00605F13" w:rsidP="00F51759">
      <w:pPr>
        <w:rPr>
          <w:lang w:eastAsia="en-NZ"/>
        </w:rPr>
      </w:pPr>
      <w:r>
        <w:rPr>
          <w:rFonts w:cs="Arial"/>
        </w:rPr>
        <w:t>Whilst these are the key UNCRPD Articles relevant to a GPS on H</w:t>
      </w:r>
      <w:r w:rsidR="00F51759">
        <w:rPr>
          <w:rFonts w:cs="Arial"/>
        </w:rPr>
        <w:t xml:space="preserve">UD, it is important to note </w:t>
      </w:r>
      <w:r w:rsidR="00F51759">
        <w:rPr>
          <w:lang w:eastAsia="en-NZ"/>
        </w:rPr>
        <w:t xml:space="preserve">the impact of adequate / inadequate housing on areas such as education (Article 23), employment (Article 24), health (Article 25), </w:t>
      </w:r>
      <w:proofErr w:type="spellStart"/>
      <w:r w:rsidR="00F51759">
        <w:rPr>
          <w:lang w:eastAsia="en-NZ"/>
        </w:rPr>
        <w:t>habilitation</w:t>
      </w:r>
      <w:proofErr w:type="spellEnd"/>
      <w:r w:rsidR="00F51759">
        <w:rPr>
          <w:lang w:eastAsia="en-NZ"/>
        </w:rPr>
        <w:t xml:space="preserve"> and rehabilitation (Article 26), participation in political and public life (Article 29) and participation in cultural life, </w:t>
      </w:r>
      <w:proofErr w:type="gramStart"/>
      <w:r w:rsidR="00F51759">
        <w:rPr>
          <w:lang w:eastAsia="en-NZ"/>
        </w:rPr>
        <w:t>recreation</w:t>
      </w:r>
      <w:proofErr w:type="gramEnd"/>
      <w:r w:rsidR="00F51759">
        <w:rPr>
          <w:lang w:eastAsia="en-NZ"/>
        </w:rPr>
        <w:t xml:space="preserve"> and sport (Article 30).</w:t>
      </w:r>
    </w:p>
    <w:p w14:paraId="597C5CF4" w14:textId="6624FC2A" w:rsidR="00A822AA" w:rsidRDefault="00450073" w:rsidP="00A822AA">
      <w:pPr>
        <w:pStyle w:val="Heading1"/>
      </w:pPr>
      <w:r>
        <w:t>The New Zealand Disability Strategy (2016-2026)</w:t>
      </w:r>
    </w:p>
    <w:p w14:paraId="12E0E9F7" w14:textId="29FAC491" w:rsidR="00A822AA" w:rsidRDefault="00450073" w:rsidP="003E3C38">
      <w:pPr>
        <w:rPr>
          <w:rFonts w:cs="Arial"/>
        </w:rPr>
      </w:pPr>
      <w:r>
        <w:rPr>
          <w:rFonts w:cs="Arial"/>
        </w:rPr>
        <w:t>The New Zealand Disability Strategy, which is the Government’s primary vehicle for implementing the UNCRPD, has the following Outcomes relevant to a HUD GPS:</w:t>
      </w:r>
    </w:p>
    <w:p w14:paraId="1453A9A6" w14:textId="6E4B6F70" w:rsidR="006F2A29" w:rsidRDefault="006F2A29" w:rsidP="003E3C38">
      <w:pPr>
        <w:rPr>
          <w:rFonts w:cs="Arial"/>
          <w:b/>
          <w:bCs/>
        </w:rPr>
      </w:pPr>
      <w:r>
        <w:rPr>
          <w:rFonts w:cs="Arial"/>
          <w:b/>
          <w:bCs/>
        </w:rPr>
        <w:t>Outcome 1</w:t>
      </w:r>
      <w:r>
        <w:rPr>
          <w:rFonts w:cs="Arial"/>
          <w:b/>
          <w:bCs/>
        </w:rPr>
        <w:tab/>
        <w:t>– Education</w:t>
      </w:r>
    </w:p>
    <w:p w14:paraId="17E3F6FC" w14:textId="6CF9C93C" w:rsidR="006F2A29" w:rsidRDefault="006F2A29" w:rsidP="003E3C38">
      <w:pPr>
        <w:rPr>
          <w:rFonts w:cs="Arial"/>
          <w:b/>
          <w:bCs/>
        </w:rPr>
      </w:pPr>
      <w:r>
        <w:rPr>
          <w:rFonts w:cs="Arial"/>
          <w:b/>
          <w:bCs/>
        </w:rPr>
        <w:t xml:space="preserve">Outcome 2 </w:t>
      </w:r>
      <w:r>
        <w:rPr>
          <w:rFonts w:cs="Arial"/>
          <w:b/>
          <w:bCs/>
        </w:rPr>
        <w:tab/>
        <w:t>– Employment and economic security</w:t>
      </w:r>
    </w:p>
    <w:p w14:paraId="45A9F4EA" w14:textId="4910ECD5" w:rsidR="006F2A29" w:rsidRPr="006F2A29" w:rsidRDefault="006F2A29" w:rsidP="003E3C38">
      <w:pPr>
        <w:rPr>
          <w:rFonts w:cs="Arial"/>
          <w:b/>
          <w:bCs/>
        </w:rPr>
      </w:pPr>
      <w:r>
        <w:rPr>
          <w:rFonts w:cs="Arial"/>
          <w:b/>
          <w:bCs/>
        </w:rPr>
        <w:t xml:space="preserve">Outcome 3 </w:t>
      </w:r>
      <w:r>
        <w:rPr>
          <w:rFonts w:cs="Arial"/>
          <w:b/>
          <w:bCs/>
        </w:rPr>
        <w:tab/>
        <w:t>– Health and wellbeing</w:t>
      </w:r>
    </w:p>
    <w:p w14:paraId="0AA49B27" w14:textId="295A826B" w:rsidR="00450073" w:rsidRDefault="00450073" w:rsidP="003E3C38">
      <w:pPr>
        <w:rPr>
          <w:rFonts w:cs="Arial"/>
          <w:b/>
          <w:bCs/>
        </w:rPr>
      </w:pPr>
      <w:r>
        <w:rPr>
          <w:rFonts w:cs="Arial"/>
          <w:b/>
          <w:bCs/>
        </w:rPr>
        <w:t>Outcome 5</w:t>
      </w:r>
      <w:r>
        <w:rPr>
          <w:rFonts w:cs="Arial"/>
          <w:b/>
          <w:bCs/>
        </w:rPr>
        <w:tab/>
        <w:t>– Accessibility</w:t>
      </w:r>
    </w:p>
    <w:p w14:paraId="104A10F3" w14:textId="2A38544D" w:rsidR="006F2A29" w:rsidRDefault="006F2A29" w:rsidP="003E3C38">
      <w:pPr>
        <w:rPr>
          <w:rFonts w:cs="Arial"/>
          <w:b/>
          <w:bCs/>
        </w:rPr>
      </w:pPr>
      <w:r>
        <w:rPr>
          <w:rFonts w:cs="Arial"/>
          <w:b/>
          <w:bCs/>
        </w:rPr>
        <w:t xml:space="preserve">Outcome 6 </w:t>
      </w:r>
      <w:r>
        <w:rPr>
          <w:rFonts w:cs="Arial"/>
          <w:b/>
          <w:bCs/>
        </w:rPr>
        <w:tab/>
        <w:t>– Choice and control</w:t>
      </w:r>
    </w:p>
    <w:p w14:paraId="37BB4365" w14:textId="3D74C2B9" w:rsidR="00450073" w:rsidRDefault="3E97B324" w:rsidP="00450073">
      <w:pPr>
        <w:rPr>
          <w:lang w:eastAsia="en-NZ"/>
        </w:rPr>
      </w:pPr>
      <w:r w:rsidRPr="3E97B324">
        <w:rPr>
          <w:lang w:eastAsia="en-NZ"/>
        </w:rPr>
        <w:lastRenderedPageBreak/>
        <w:t xml:space="preserve">These Outcomes are all extremely relevant and highlight the centrality of housing, urban development, community involvement, participation in education or employment towards </w:t>
      </w:r>
      <w:proofErr w:type="gramStart"/>
      <w:r w:rsidRPr="3E97B324">
        <w:rPr>
          <w:lang w:eastAsia="en-NZ"/>
        </w:rPr>
        <w:t>quality of life</w:t>
      </w:r>
      <w:proofErr w:type="gramEnd"/>
      <w:r w:rsidRPr="3E97B324">
        <w:rPr>
          <w:lang w:eastAsia="en-NZ"/>
        </w:rPr>
        <w:t xml:space="preserve"> outcomes of disabled people.</w:t>
      </w:r>
    </w:p>
    <w:p w14:paraId="2C459447" w14:textId="22AFB90B" w:rsidR="00C003C3" w:rsidRDefault="00450073" w:rsidP="003E3C38">
      <w:pPr>
        <w:rPr>
          <w:lang w:eastAsia="en-NZ"/>
        </w:rPr>
      </w:pPr>
      <w:r>
        <w:rPr>
          <w:lang w:eastAsia="en-NZ"/>
        </w:rPr>
        <w:t>Given the housing crisis for disabled people</w:t>
      </w:r>
      <w:r w:rsidR="00C003C3">
        <w:rPr>
          <w:lang w:eastAsia="en-NZ"/>
        </w:rPr>
        <w:t>,</w:t>
      </w:r>
      <w:r>
        <w:rPr>
          <w:lang w:eastAsia="en-NZ"/>
        </w:rPr>
        <w:t xml:space="preserve"> the HUD GPS must explicitly make mention of disabled people and reference the key documents that enshrine N</w:t>
      </w:r>
      <w:r w:rsidR="00C003C3">
        <w:rPr>
          <w:lang w:eastAsia="en-NZ"/>
        </w:rPr>
        <w:t xml:space="preserve">ew </w:t>
      </w:r>
      <w:r>
        <w:rPr>
          <w:lang w:eastAsia="en-NZ"/>
        </w:rPr>
        <w:t>Z</w:t>
      </w:r>
      <w:r w:rsidR="00C003C3">
        <w:rPr>
          <w:lang w:eastAsia="en-NZ"/>
        </w:rPr>
        <w:t>ealand</w:t>
      </w:r>
      <w:r>
        <w:rPr>
          <w:lang w:eastAsia="en-NZ"/>
        </w:rPr>
        <w:t xml:space="preserve">’s obligations in respect of the rights of disabled people. </w:t>
      </w:r>
    </w:p>
    <w:p w14:paraId="7707B03C" w14:textId="35E5158A" w:rsidR="00C003C3" w:rsidRDefault="00C003C3" w:rsidP="00C003C3">
      <w:pPr>
        <w:pStyle w:val="Heading1"/>
      </w:pPr>
      <w:r>
        <w:t>Focus Areas</w:t>
      </w:r>
    </w:p>
    <w:p w14:paraId="0681219C" w14:textId="6F45F36E" w:rsidR="00C003C3" w:rsidRDefault="3E97B324" w:rsidP="003E3C38">
      <w:pPr>
        <w:rPr>
          <w:lang w:eastAsia="en-NZ"/>
        </w:rPr>
      </w:pPr>
      <w:r w:rsidRPr="3E97B324">
        <w:rPr>
          <w:lang w:eastAsia="en-NZ"/>
        </w:rPr>
        <w:t>In addition to the six focus areas listed in the HUD GPS, we suggest the addition of a seventh focus area on disabled people.  This focus area would cover:</w:t>
      </w:r>
    </w:p>
    <w:p w14:paraId="0E273389" w14:textId="5AA68453" w:rsidR="00C003C3" w:rsidRDefault="00C003C3" w:rsidP="00C003C3">
      <w:pPr>
        <w:pStyle w:val="ListParagraph"/>
        <w:numPr>
          <w:ilvl w:val="0"/>
          <w:numId w:val="16"/>
        </w:numPr>
        <w:rPr>
          <w:lang w:eastAsia="en-NZ"/>
        </w:rPr>
      </w:pPr>
      <w:r>
        <w:rPr>
          <w:lang w:eastAsia="en-NZ"/>
        </w:rPr>
        <w:t>Engagement with disabled people and our organisations</w:t>
      </w:r>
    </w:p>
    <w:p w14:paraId="412F55E5" w14:textId="1F4A2655" w:rsidR="00C003C3" w:rsidRDefault="00C003C3" w:rsidP="00C003C3">
      <w:pPr>
        <w:pStyle w:val="ListParagraph"/>
        <w:numPr>
          <w:ilvl w:val="0"/>
          <w:numId w:val="16"/>
        </w:numPr>
        <w:rPr>
          <w:lang w:eastAsia="en-NZ"/>
        </w:rPr>
      </w:pPr>
      <w:r>
        <w:rPr>
          <w:lang w:eastAsia="en-NZ"/>
        </w:rPr>
        <w:t>Universal design</w:t>
      </w:r>
    </w:p>
    <w:p w14:paraId="7AAD44CC" w14:textId="613800C2" w:rsidR="008B0381" w:rsidRDefault="008B0381" w:rsidP="00C003C3">
      <w:pPr>
        <w:pStyle w:val="ListParagraph"/>
        <w:numPr>
          <w:ilvl w:val="0"/>
          <w:numId w:val="16"/>
        </w:numPr>
        <w:rPr>
          <w:lang w:eastAsia="en-NZ"/>
        </w:rPr>
      </w:pPr>
      <w:r>
        <w:rPr>
          <w:lang w:eastAsia="en-NZ"/>
        </w:rPr>
        <w:t>Individual adaptations and modifications</w:t>
      </w:r>
    </w:p>
    <w:p w14:paraId="3C8200C6" w14:textId="5010082A" w:rsidR="008B0381" w:rsidRDefault="008B0381" w:rsidP="00C003C3">
      <w:pPr>
        <w:pStyle w:val="ListParagraph"/>
        <w:numPr>
          <w:ilvl w:val="0"/>
          <w:numId w:val="16"/>
        </w:numPr>
        <w:rPr>
          <w:lang w:eastAsia="en-NZ"/>
        </w:rPr>
      </w:pPr>
      <w:r>
        <w:rPr>
          <w:lang w:eastAsia="en-NZ"/>
        </w:rPr>
        <w:t>Accessible transport</w:t>
      </w:r>
    </w:p>
    <w:p w14:paraId="1216145E" w14:textId="4742779E" w:rsidR="008B0381" w:rsidRDefault="008B0381" w:rsidP="00C003C3">
      <w:pPr>
        <w:pStyle w:val="ListParagraph"/>
        <w:numPr>
          <w:ilvl w:val="0"/>
          <w:numId w:val="16"/>
        </w:numPr>
        <w:rPr>
          <w:lang w:eastAsia="en-NZ"/>
        </w:rPr>
      </w:pPr>
      <w:r>
        <w:rPr>
          <w:lang w:eastAsia="en-NZ"/>
        </w:rPr>
        <w:t>Making the urban environment and environmental infrastructure accessible</w:t>
      </w:r>
    </w:p>
    <w:p w14:paraId="5BF3B86C" w14:textId="7AB8ADBC" w:rsidR="008B0381" w:rsidRDefault="3E97B324" w:rsidP="00C003C3">
      <w:pPr>
        <w:pStyle w:val="ListParagraph"/>
        <w:numPr>
          <w:ilvl w:val="0"/>
          <w:numId w:val="16"/>
        </w:numPr>
        <w:rPr>
          <w:lang w:eastAsia="en-NZ"/>
        </w:rPr>
      </w:pPr>
      <w:r w:rsidRPr="3E97B324">
        <w:rPr>
          <w:lang w:eastAsia="en-NZ"/>
        </w:rPr>
        <w:t>Kainga Ora and disability/accessibility</w:t>
      </w:r>
    </w:p>
    <w:p w14:paraId="62D49A01" w14:textId="1372D5E4" w:rsidR="008B0381" w:rsidRDefault="3E97B324" w:rsidP="008B0381">
      <w:pPr>
        <w:pStyle w:val="ListParagraph"/>
        <w:numPr>
          <w:ilvl w:val="0"/>
          <w:numId w:val="16"/>
        </w:numPr>
        <w:spacing w:line="276" w:lineRule="auto"/>
        <w:rPr>
          <w:lang w:eastAsia="en-NZ"/>
        </w:rPr>
      </w:pPr>
      <w:r w:rsidRPr="3E97B324">
        <w:rPr>
          <w:lang w:eastAsia="en-NZ"/>
        </w:rPr>
        <w:t xml:space="preserve">Incentivising planners, architects, </w:t>
      </w:r>
      <w:proofErr w:type="gramStart"/>
      <w:r w:rsidRPr="3E97B324">
        <w:rPr>
          <w:lang w:eastAsia="en-NZ"/>
        </w:rPr>
        <w:t>developers</w:t>
      </w:r>
      <w:proofErr w:type="gramEnd"/>
      <w:r w:rsidRPr="3E97B324">
        <w:rPr>
          <w:lang w:eastAsia="en-NZ"/>
        </w:rPr>
        <w:t xml:space="preserve"> and builders to create accessible housing</w:t>
      </w:r>
    </w:p>
    <w:p w14:paraId="14280074" w14:textId="6DFE90ED" w:rsidR="008B0381" w:rsidRPr="00C003C3" w:rsidRDefault="3E97B324" w:rsidP="008B0381">
      <w:pPr>
        <w:rPr>
          <w:lang w:eastAsia="en-NZ"/>
        </w:rPr>
      </w:pPr>
      <w:r w:rsidRPr="3E97B324">
        <w:rPr>
          <w:lang w:eastAsia="en-NZ"/>
        </w:rPr>
        <w:t>As well as adding a specific focus area for disabled people, there is also a need for disability issues to be more clearly highlighted in each of the current six focus areas.</w:t>
      </w:r>
    </w:p>
    <w:p w14:paraId="320C5957" w14:textId="1E149817" w:rsidR="008B0381" w:rsidRDefault="001B0951" w:rsidP="001B0951">
      <w:pPr>
        <w:pStyle w:val="Heading1"/>
      </w:pPr>
      <w:r>
        <w:t>Vision</w:t>
      </w:r>
    </w:p>
    <w:p w14:paraId="68F15C7A" w14:textId="7049913B" w:rsidR="001B0951" w:rsidRDefault="3E97B324" w:rsidP="001B0951">
      <w:pPr>
        <w:rPr>
          <w:lang w:eastAsia="en-NZ"/>
        </w:rPr>
      </w:pPr>
      <w:r w:rsidRPr="3E97B324">
        <w:rPr>
          <w:lang w:eastAsia="en-NZ"/>
        </w:rPr>
        <w:t>We agree with the vision but would like to see the outcomes specifically highlight key disability issues such as those listed in our suggested seventh focus area (</w:t>
      </w:r>
      <w:proofErr w:type="gramStart"/>
      <w:r w:rsidRPr="3E97B324">
        <w:rPr>
          <w:lang w:eastAsia="en-NZ"/>
        </w:rPr>
        <w:t>i.e.</w:t>
      </w:r>
      <w:proofErr w:type="gramEnd"/>
      <w:r w:rsidRPr="3E97B324">
        <w:rPr>
          <w:lang w:eastAsia="en-NZ"/>
        </w:rPr>
        <w:t xml:space="preserve"> accessibility, universal design, modifications /adaptations) and clearly show that they meet the needs of disabled people. Without this explicit focus, there is a real risk that the needs of disabled people will continue to be overlooked or ignored and disabled people will end up being locked out of access to housing, urban </w:t>
      </w:r>
      <w:proofErr w:type="gramStart"/>
      <w:r w:rsidRPr="3E97B324">
        <w:rPr>
          <w:lang w:eastAsia="en-NZ"/>
        </w:rPr>
        <w:t>spaces</w:t>
      </w:r>
      <w:proofErr w:type="gramEnd"/>
      <w:r w:rsidRPr="3E97B324">
        <w:rPr>
          <w:lang w:eastAsia="en-NZ"/>
        </w:rPr>
        <w:t xml:space="preserve"> and infrastructure for the next thirty to fifty years. </w:t>
      </w:r>
    </w:p>
    <w:p w14:paraId="1688B80E" w14:textId="1609BCB1" w:rsidR="009271E1" w:rsidRDefault="009271E1" w:rsidP="001B0951">
      <w:pPr>
        <w:rPr>
          <w:lang w:eastAsia="en-NZ"/>
        </w:rPr>
      </w:pPr>
    </w:p>
    <w:p w14:paraId="0DE642BC" w14:textId="4F7FF5BD" w:rsidR="009271E1" w:rsidRDefault="009271E1" w:rsidP="009271E1">
      <w:pPr>
        <w:pStyle w:val="Heading1"/>
      </w:pPr>
      <w:r>
        <w:t>Conclusion</w:t>
      </w:r>
    </w:p>
    <w:p w14:paraId="0E989058" w14:textId="6263CD20" w:rsidR="009271E1" w:rsidRDefault="009271E1" w:rsidP="001B0951">
      <w:pPr>
        <w:rPr>
          <w:lang w:eastAsia="en-NZ"/>
        </w:rPr>
      </w:pPr>
      <w:r>
        <w:rPr>
          <w:lang w:eastAsia="en-NZ"/>
        </w:rPr>
        <w:t>The HUD GPS barely mentions disabled people and nowhere does it mention New Zealand’s obligations under the UNCRPD nor the Government’s under the NZ Disability Strategy.</w:t>
      </w:r>
    </w:p>
    <w:p w14:paraId="68F15466" w14:textId="07DBA6A7" w:rsidR="009271E1" w:rsidRPr="001B0951" w:rsidRDefault="72EA2433" w:rsidP="001B0951">
      <w:pPr>
        <w:rPr>
          <w:lang w:eastAsia="en-NZ"/>
        </w:rPr>
      </w:pPr>
      <w:r w:rsidRPr="72EA2433">
        <w:rPr>
          <w:lang w:eastAsia="en-NZ"/>
        </w:rPr>
        <w:t xml:space="preserve">DPA just doesn’t see disabled people and our issues reflected in this HUD GPS consultation document and considers this to be a major omission.  We urge the inclusion of a specific focus area on disabled people including access to housing, </w:t>
      </w:r>
      <w:proofErr w:type="spellStart"/>
      <w:r w:rsidRPr="72EA2433">
        <w:rPr>
          <w:lang w:eastAsia="en-NZ"/>
        </w:rPr>
        <w:t>infrastrructure</w:t>
      </w:r>
      <w:proofErr w:type="spellEnd"/>
      <w:r w:rsidRPr="72EA2433">
        <w:rPr>
          <w:lang w:eastAsia="en-NZ"/>
        </w:rPr>
        <w:t xml:space="preserve"> and urban spaces, and for disability issues to be integrated into the outcomes </w:t>
      </w:r>
      <w:proofErr w:type="gramStart"/>
      <w:r w:rsidRPr="72EA2433">
        <w:rPr>
          <w:lang w:eastAsia="en-NZ"/>
        </w:rPr>
        <w:t>in order to</w:t>
      </w:r>
      <w:proofErr w:type="gramEnd"/>
      <w:r w:rsidRPr="72EA2433">
        <w:rPr>
          <w:lang w:eastAsia="en-NZ"/>
        </w:rPr>
        <w:t xml:space="preserve"> ensure that our needs are planned for in this policy response statement.</w:t>
      </w:r>
    </w:p>
    <w:sectPr w:rsidR="009271E1" w:rsidRPr="001B0951"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B4E75" w14:textId="77777777" w:rsidR="00574D50" w:rsidRDefault="00574D50" w:rsidP="00634AEC">
      <w:pPr>
        <w:spacing w:after="0" w:line="240" w:lineRule="auto"/>
      </w:pPr>
      <w:r>
        <w:separator/>
      </w:r>
    </w:p>
  </w:endnote>
  <w:endnote w:type="continuationSeparator" w:id="0">
    <w:p w14:paraId="60888F10" w14:textId="77777777" w:rsidR="00574D50" w:rsidRDefault="00574D50" w:rsidP="00634AEC">
      <w:pPr>
        <w:spacing w:after="0" w:line="240" w:lineRule="auto"/>
      </w:pPr>
      <w:r>
        <w:continuationSeparator/>
      </w:r>
    </w:p>
  </w:endnote>
  <w:endnote w:type="continuationNotice" w:id="1">
    <w:p w14:paraId="011FBEFB" w14:textId="77777777" w:rsidR="00574D50" w:rsidRDefault="00574D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76B30" w14:textId="77777777" w:rsidR="00574D50" w:rsidRDefault="00574D50" w:rsidP="00634AEC">
      <w:pPr>
        <w:spacing w:after="0" w:line="240" w:lineRule="auto"/>
      </w:pPr>
      <w:r>
        <w:separator/>
      </w:r>
    </w:p>
  </w:footnote>
  <w:footnote w:type="continuationSeparator" w:id="0">
    <w:p w14:paraId="61FACD73" w14:textId="77777777" w:rsidR="00574D50" w:rsidRDefault="00574D50" w:rsidP="00634AEC">
      <w:pPr>
        <w:spacing w:after="0" w:line="240" w:lineRule="auto"/>
      </w:pPr>
      <w:r>
        <w:continuationSeparator/>
      </w:r>
    </w:p>
  </w:footnote>
  <w:footnote w:type="continuationNotice" w:id="1">
    <w:p w14:paraId="77E40483" w14:textId="77777777" w:rsidR="00574D50" w:rsidRDefault="00574D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B4A3674"/>
    <w:multiLevelType w:val="hybridMultilevel"/>
    <w:tmpl w:val="617AE8A8"/>
    <w:lvl w:ilvl="0" w:tplc="A8D44340">
      <w:start w:val="1"/>
      <w:numFmt w:val="bullet"/>
      <w:lvlText w:val=""/>
      <w:lvlJc w:val="left"/>
      <w:pPr>
        <w:ind w:left="720" w:hanging="360"/>
      </w:pPr>
      <w:rPr>
        <w:rFonts w:ascii="Wingdings" w:hAnsi="Wingdings"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2EC4B10"/>
    <w:multiLevelType w:val="hybridMultilevel"/>
    <w:tmpl w:val="C658AE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9AA40AC"/>
    <w:multiLevelType w:val="hybridMultilevel"/>
    <w:tmpl w:val="AE3264F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15"/>
  </w:num>
  <w:num w:numId="6">
    <w:abstractNumId w:val="3"/>
  </w:num>
  <w:num w:numId="7">
    <w:abstractNumId w:val="8"/>
  </w:num>
  <w:num w:numId="8">
    <w:abstractNumId w:val="9"/>
  </w:num>
  <w:num w:numId="9">
    <w:abstractNumId w:val="7"/>
  </w:num>
  <w:num w:numId="10">
    <w:abstractNumId w:val="13"/>
  </w:num>
  <w:num w:numId="11">
    <w:abstractNumId w:val="12"/>
  </w:num>
  <w:num w:numId="12">
    <w:abstractNumId w:val="0"/>
  </w:num>
  <w:num w:numId="13">
    <w:abstractNumId w:val="11"/>
  </w:num>
  <w:num w:numId="14">
    <w:abstractNumId w:val="5"/>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3160"/>
    <w:rsid w:val="00036320"/>
    <w:rsid w:val="000533B3"/>
    <w:rsid w:val="000A33E1"/>
    <w:rsid w:val="000B1D28"/>
    <w:rsid w:val="000C2A3A"/>
    <w:rsid w:val="000E722F"/>
    <w:rsid w:val="000F3B00"/>
    <w:rsid w:val="00107484"/>
    <w:rsid w:val="00133092"/>
    <w:rsid w:val="0017282E"/>
    <w:rsid w:val="001A3927"/>
    <w:rsid w:val="001A63C9"/>
    <w:rsid w:val="001B0951"/>
    <w:rsid w:val="001B48A8"/>
    <w:rsid w:val="001B734D"/>
    <w:rsid w:val="001C0434"/>
    <w:rsid w:val="001D29F1"/>
    <w:rsid w:val="00213391"/>
    <w:rsid w:val="00234512"/>
    <w:rsid w:val="00252A79"/>
    <w:rsid w:val="00255576"/>
    <w:rsid w:val="002C0869"/>
    <w:rsid w:val="002E0071"/>
    <w:rsid w:val="00324735"/>
    <w:rsid w:val="00341C18"/>
    <w:rsid w:val="00376117"/>
    <w:rsid w:val="0039004F"/>
    <w:rsid w:val="003A36B0"/>
    <w:rsid w:val="003B0C58"/>
    <w:rsid w:val="003B154D"/>
    <w:rsid w:val="003B3DF5"/>
    <w:rsid w:val="003E3C38"/>
    <w:rsid w:val="003F6378"/>
    <w:rsid w:val="00412627"/>
    <w:rsid w:val="00422A0D"/>
    <w:rsid w:val="00450073"/>
    <w:rsid w:val="004600A7"/>
    <w:rsid w:val="004A0B5F"/>
    <w:rsid w:val="004D53A5"/>
    <w:rsid w:val="004D7DF3"/>
    <w:rsid w:val="005174CE"/>
    <w:rsid w:val="005244AE"/>
    <w:rsid w:val="005255B7"/>
    <w:rsid w:val="00534749"/>
    <w:rsid w:val="00547874"/>
    <w:rsid w:val="00562E74"/>
    <w:rsid w:val="00574D50"/>
    <w:rsid w:val="00587C7D"/>
    <w:rsid w:val="005C2088"/>
    <w:rsid w:val="005D4B96"/>
    <w:rsid w:val="00605F13"/>
    <w:rsid w:val="00612023"/>
    <w:rsid w:val="00617B71"/>
    <w:rsid w:val="00626DE9"/>
    <w:rsid w:val="00634AEC"/>
    <w:rsid w:val="0065604C"/>
    <w:rsid w:val="00662EDB"/>
    <w:rsid w:val="00670B18"/>
    <w:rsid w:val="006B5018"/>
    <w:rsid w:val="006D416F"/>
    <w:rsid w:val="006E413E"/>
    <w:rsid w:val="006F21C3"/>
    <w:rsid w:val="006F2A29"/>
    <w:rsid w:val="00700885"/>
    <w:rsid w:val="007247B9"/>
    <w:rsid w:val="00750041"/>
    <w:rsid w:val="00771A3C"/>
    <w:rsid w:val="00775532"/>
    <w:rsid w:val="007928EF"/>
    <w:rsid w:val="007A5D60"/>
    <w:rsid w:val="007A7317"/>
    <w:rsid w:val="007B4A88"/>
    <w:rsid w:val="007E1BB9"/>
    <w:rsid w:val="00832EF2"/>
    <w:rsid w:val="008344B8"/>
    <w:rsid w:val="008443CB"/>
    <w:rsid w:val="00851ABD"/>
    <w:rsid w:val="008B0381"/>
    <w:rsid w:val="008C3BEF"/>
    <w:rsid w:val="008E27E2"/>
    <w:rsid w:val="008E541D"/>
    <w:rsid w:val="00902171"/>
    <w:rsid w:val="009140EA"/>
    <w:rsid w:val="00921D00"/>
    <w:rsid w:val="009271E1"/>
    <w:rsid w:val="009514A6"/>
    <w:rsid w:val="00953608"/>
    <w:rsid w:val="00980ACE"/>
    <w:rsid w:val="0098203B"/>
    <w:rsid w:val="009923BC"/>
    <w:rsid w:val="009B6EE7"/>
    <w:rsid w:val="009C25EE"/>
    <w:rsid w:val="009D233D"/>
    <w:rsid w:val="009F43CD"/>
    <w:rsid w:val="00A12510"/>
    <w:rsid w:val="00A2709C"/>
    <w:rsid w:val="00A272AB"/>
    <w:rsid w:val="00A378EA"/>
    <w:rsid w:val="00A56F67"/>
    <w:rsid w:val="00A67D69"/>
    <w:rsid w:val="00A76CE2"/>
    <w:rsid w:val="00A77DD5"/>
    <w:rsid w:val="00A822AA"/>
    <w:rsid w:val="00AA7CBB"/>
    <w:rsid w:val="00B00392"/>
    <w:rsid w:val="00B36CBB"/>
    <w:rsid w:val="00B508E3"/>
    <w:rsid w:val="00B7383C"/>
    <w:rsid w:val="00B819EB"/>
    <w:rsid w:val="00B9746B"/>
    <w:rsid w:val="00BA572D"/>
    <w:rsid w:val="00BF7175"/>
    <w:rsid w:val="00C003C3"/>
    <w:rsid w:val="00C23CCD"/>
    <w:rsid w:val="00C24E57"/>
    <w:rsid w:val="00C3131E"/>
    <w:rsid w:val="00C36CF0"/>
    <w:rsid w:val="00C473F0"/>
    <w:rsid w:val="00C64FFB"/>
    <w:rsid w:val="00C92B04"/>
    <w:rsid w:val="00CD1230"/>
    <w:rsid w:val="00CD4578"/>
    <w:rsid w:val="00D0678F"/>
    <w:rsid w:val="00D11BCC"/>
    <w:rsid w:val="00D2076D"/>
    <w:rsid w:val="00D230E4"/>
    <w:rsid w:val="00D26396"/>
    <w:rsid w:val="00D451C5"/>
    <w:rsid w:val="00D609B6"/>
    <w:rsid w:val="00D6214D"/>
    <w:rsid w:val="00DF61B6"/>
    <w:rsid w:val="00E0554B"/>
    <w:rsid w:val="00E13065"/>
    <w:rsid w:val="00E42834"/>
    <w:rsid w:val="00E47BC9"/>
    <w:rsid w:val="00E53192"/>
    <w:rsid w:val="00E5783A"/>
    <w:rsid w:val="00E65567"/>
    <w:rsid w:val="00E667EE"/>
    <w:rsid w:val="00E70E28"/>
    <w:rsid w:val="00E74B15"/>
    <w:rsid w:val="00E9298B"/>
    <w:rsid w:val="00EA7AD5"/>
    <w:rsid w:val="00EB17E7"/>
    <w:rsid w:val="00EC6AD9"/>
    <w:rsid w:val="00ED0EBB"/>
    <w:rsid w:val="00EE2B63"/>
    <w:rsid w:val="00EF2AA3"/>
    <w:rsid w:val="00EF44E1"/>
    <w:rsid w:val="00F03220"/>
    <w:rsid w:val="00F228DC"/>
    <w:rsid w:val="00F51759"/>
    <w:rsid w:val="00F90077"/>
    <w:rsid w:val="00F90886"/>
    <w:rsid w:val="00FA1FCA"/>
    <w:rsid w:val="00FD5C60"/>
    <w:rsid w:val="3E97B324"/>
    <w:rsid w:val="72EA243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2021-07-30T23:34:00Z</dcterms:created>
  <dcterms:modified xsi:type="dcterms:W3CDTF">2021-07-30T23:34:00Z</dcterms:modified>
</cp:coreProperties>
</file>