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2746B8CE" w:rsidR="00587C7D" w:rsidRPr="005244AE" w:rsidRDefault="0067192B" w:rsidP="00E9298B">
      <w:r>
        <w:t>May 2021</w:t>
      </w:r>
    </w:p>
    <w:p w14:paraId="713BEF40" w14:textId="77777777" w:rsidR="00587C7D" w:rsidRPr="005244AE" w:rsidRDefault="00587C7D" w:rsidP="00E9298B"/>
    <w:p w14:paraId="23566296" w14:textId="77777777" w:rsidR="00587C7D" w:rsidRPr="005244AE" w:rsidRDefault="00587C7D" w:rsidP="00E9298B"/>
    <w:p w14:paraId="4410E38B" w14:textId="5D91B37A" w:rsidR="000A33E1" w:rsidRPr="005244AE" w:rsidRDefault="00587C7D" w:rsidP="00E9298B">
      <w:r w:rsidRPr="005244AE">
        <w:t>To</w:t>
      </w:r>
      <w:r w:rsidR="0067192B">
        <w:t xml:space="preserve"> the Health Select Committee.</w:t>
      </w:r>
    </w:p>
    <w:p w14:paraId="56F6172C" w14:textId="53F44897" w:rsidR="00587C7D" w:rsidRDefault="00587C7D" w:rsidP="00E9298B">
      <w:r w:rsidRPr="000A33E1">
        <w:t>Please find attached</w:t>
      </w:r>
      <w:r w:rsidR="000A33E1" w:rsidRPr="000A33E1">
        <w:t xml:space="preserve"> DPA’s</w:t>
      </w:r>
      <w:r w:rsidRPr="000A33E1">
        <w:t xml:space="preserve"> submission</w:t>
      </w:r>
      <w:r w:rsidR="008443CB">
        <w:t xml:space="preserve"> </w:t>
      </w:r>
      <w:r w:rsidR="008E541D">
        <w:t>on</w:t>
      </w:r>
      <w:r w:rsidR="0067192B">
        <w:t xml:space="preserve"> the Mental Health (Compulsory Assessment and Treatment) Amendment Bill.</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9F6C98"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6992DDD3" w:rsidR="003E3C38" w:rsidRPr="00F90077" w:rsidRDefault="08959572" w:rsidP="003E3C38">
      <w:pPr>
        <w:rPr>
          <w:rFonts w:cs="Arial"/>
        </w:rPr>
      </w:pPr>
      <w:r w:rsidRPr="08959572">
        <w:rPr>
          <w:rFonts w:cs="Arial"/>
        </w:rPr>
        <w:t>The Disabled Persons Assembly NZ (DPA) is a pan-impairment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2"/>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0B9C9C06" w14:textId="77777777" w:rsidR="003E3C38" w:rsidRPr="00F90077" w:rsidRDefault="003E3C38" w:rsidP="003E3C38">
      <w:pPr>
        <w:pStyle w:val="ListParagraph"/>
        <w:numPr>
          <w:ilvl w:val="0"/>
          <w:numId w:val="2"/>
        </w:numPr>
        <w:spacing w:after="160"/>
        <w:rPr>
          <w:rFonts w:cs="Arial"/>
        </w:rPr>
      </w:pPr>
      <w:r w:rsidRPr="00F90077">
        <w:rPr>
          <w:rFonts w:cs="Arial"/>
        </w:rPr>
        <w:t>celebrating innovation and good practice</w:t>
      </w:r>
    </w:p>
    <w:p w14:paraId="1368214B" w14:textId="7FF0E7BC" w:rsidR="00634AEC" w:rsidRPr="006F2712" w:rsidRDefault="004D53A5" w:rsidP="004D53A5">
      <w:pPr>
        <w:pStyle w:val="Heading1"/>
      </w:pPr>
      <w:r>
        <w:t xml:space="preserve">The submission </w:t>
      </w:r>
    </w:p>
    <w:p w14:paraId="75A178AA" w14:textId="464565F3" w:rsidR="0067192B" w:rsidRPr="00D756E8" w:rsidRDefault="0067192B" w:rsidP="0067192B">
      <w:pPr>
        <w:rPr>
          <w:rFonts w:cs="Arial"/>
        </w:rPr>
      </w:pPr>
      <w:r w:rsidRPr="00D756E8">
        <w:rPr>
          <w:rFonts w:cs="Arial"/>
        </w:rPr>
        <w:t xml:space="preserve">While DPA welcomes </w:t>
      </w:r>
      <w:r w:rsidRPr="00D756E8">
        <w:rPr>
          <w:rFonts w:cs="Arial"/>
          <w:color w:val="202020"/>
          <w:szCs w:val="24"/>
        </w:rPr>
        <w:t xml:space="preserve">The </w:t>
      </w:r>
      <w:r w:rsidRPr="00D756E8">
        <w:rPr>
          <w:rStyle w:val="Emphasis"/>
          <w:color w:val="202020"/>
          <w:szCs w:val="24"/>
        </w:rPr>
        <w:t>Mental Health (Compulsory Assessment and Treatment) Amendment Bill</w:t>
      </w:r>
      <w:r w:rsidRPr="00D756E8">
        <w:rPr>
          <w:rFonts w:cs="Arial"/>
          <w:color w:val="202020"/>
          <w:szCs w:val="24"/>
        </w:rPr>
        <w:t xml:space="preserve">, </w:t>
      </w:r>
      <w:r w:rsidRPr="00D756E8">
        <w:rPr>
          <w:rFonts w:cs="Arial"/>
        </w:rPr>
        <w:t>we see it as only the first step to completely overhauling NZ’s mental health system.</w:t>
      </w:r>
      <w:r w:rsidR="00FB07FE">
        <w:rPr>
          <w:rFonts w:cs="Arial"/>
        </w:rPr>
        <w:t xml:space="preserve"> </w:t>
      </w:r>
      <w:r w:rsidRPr="00D756E8">
        <w:rPr>
          <w:rFonts w:cs="Arial"/>
        </w:rPr>
        <w:t xml:space="preserve"> </w:t>
      </w:r>
    </w:p>
    <w:p w14:paraId="181EF4C6" w14:textId="2A6601BC" w:rsidR="0067192B" w:rsidRPr="00D756E8" w:rsidRDefault="00A54D5A" w:rsidP="00D756E8">
      <w:pPr>
        <w:spacing w:after="0"/>
        <w:rPr>
          <w:rStyle w:val="Emphasis"/>
          <w:color w:val="202020"/>
          <w:szCs w:val="24"/>
        </w:rPr>
      </w:pPr>
      <w:r w:rsidRPr="00D756E8">
        <w:rPr>
          <w:rFonts w:cs="Arial"/>
        </w:rPr>
        <w:t xml:space="preserve">DPA fully endorses Recommendation 34 of </w:t>
      </w:r>
      <w:proofErr w:type="spellStart"/>
      <w:r w:rsidRPr="00D756E8">
        <w:rPr>
          <w:rStyle w:val="Emphasis"/>
          <w:color w:val="202020"/>
          <w:szCs w:val="24"/>
        </w:rPr>
        <w:t>He</w:t>
      </w:r>
      <w:proofErr w:type="spellEnd"/>
      <w:r w:rsidRPr="00D756E8">
        <w:rPr>
          <w:rStyle w:val="Emphasis"/>
          <w:color w:val="202020"/>
          <w:szCs w:val="24"/>
        </w:rPr>
        <w:t xml:space="preserve"> Ara </w:t>
      </w:r>
      <w:proofErr w:type="spellStart"/>
      <w:r w:rsidRPr="00D756E8">
        <w:rPr>
          <w:rStyle w:val="Emphasis"/>
          <w:color w:val="202020"/>
          <w:szCs w:val="24"/>
        </w:rPr>
        <w:t>Oranga</w:t>
      </w:r>
      <w:proofErr w:type="spellEnd"/>
      <w:r w:rsidRPr="00D756E8">
        <w:rPr>
          <w:rStyle w:val="Emphasis"/>
          <w:color w:val="202020"/>
          <w:szCs w:val="24"/>
        </w:rPr>
        <w:t>, Report of the Government Inquiry into Mental Health and Addiction (2018):</w:t>
      </w:r>
    </w:p>
    <w:p w14:paraId="5A7C6E32" w14:textId="77777777" w:rsidR="000E6EFD" w:rsidRDefault="0067192B" w:rsidP="000E6EFD">
      <w:pPr>
        <w:spacing w:after="0" w:line="276" w:lineRule="auto"/>
        <w:ind w:left="567"/>
        <w:jc w:val="both"/>
        <w:rPr>
          <w:rStyle w:val="Strong"/>
          <w:sz w:val="27"/>
          <w:szCs w:val="27"/>
        </w:rPr>
      </w:pPr>
      <w:r>
        <w:rPr>
          <w:rFonts w:ascii="Helvetica" w:hAnsi="Helvetica" w:cs="Helvetica"/>
          <w:color w:val="202020"/>
          <w:szCs w:val="24"/>
        </w:rPr>
        <w:br/>
      </w:r>
      <w:r w:rsidRPr="0067192B">
        <w:rPr>
          <w:rFonts w:ascii="Times New Roman" w:hAnsi="Times New Roman" w:cs="Times New Roman"/>
          <w:color w:val="202020"/>
          <w:szCs w:val="24"/>
        </w:rPr>
        <w:t>“</w:t>
      </w:r>
      <w:r w:rsidRPr="0067192B">
        <w:rPr>
          <w:rStyle w:val="Strong"/>
          <w:rFonts w:ascii="Times New Roman" w:hAnsi="Times New Roman" w:cs="Times New Roman"/>
          <w:szCs w:val="24"/>
        </w:rPr>
        <w:t xml:space="preserve">Repeal and replace the Mental Health (Compulsory Assessment and Treatment) Act 1992 (the Mental Health Act) so that it reflects a </w:t>
      </w:r>
      <w:proofErr w:type="gramStart"/>
      <w:r w:rsidRPr="0067192B">
        <w:rPr>
          <w:rStyle w:val="Strong"/>
          <w:rFonts w:ascii="Times New Roman" w:hAnsi="Times New Roman" w:cs="Times New Roman"/>
          <w:szCs w:val="24"/>
        </w:rPr>
        <w:t>human rights</w:t>
      </w:r>
      <w:proofErr w:type="gramEnd"/>
      <w:r w:rsidRPr="0067192B">
        <w:rPr>
          <w:rStyle w:val="Strong"/>
          <w:rFonts w:ascii="Times New Roman" w:hAnsi="Times New Roman" w:cs="Times New Roman"/>
          <w:szCs w:val="24"/>
        </w:rPr>
        <w:t xml:space="preserve">–based approach, promotes supported decision-making, aligns with the recovery and wellbeing model of mental health, and provides measures to minimise compulsory or coercive treatment” </w:t>
      </w:r>
      <w:r w:rsidRPr="0067192B">
        <w:rPr>
          <w:rStyle w:val="EndnoteReference"/>
          <w:rFonts w:ascii="Times New Roman" w:hAnsi="Times New Roman" w:cs="Times New Roman"/>
          <w:szCs w:val="24"/>
        </w:rPr>
        <w:endnoteReference w:id="1"/>
      </w:r>
      <w:r>
        <w:rPr>
          <w:rStyle w:val="Strong"/>
          <w:sz w:val="27"/>
          <w:szCs w:val="27"/>
        </w:rPr>
        <w:t xml:space="preserve">  </w:t>
      </w:r>
    </w:p>
    <w:p w14:paraId="4838D3D6" w14:textId="25CA3C6A" w:rsidR="0067192B" w:rsidRPr="000E6EFD" w:rsidRDefault="0067192B" w:rsidP="000E6EFD">
      <w:pPr>
        <w:spacing w:after="0" w:line="276" w:lineRule="auto"/>
        <w:jc w:val="both"/>
        <w:rPr>
          <w:b/>
          <w:bCs/>
          <w:sz w:val="27"/>
          <w:szCs w:val="27"/>
        </w:rPr>
      </w:pPr>
      <w:r>
        <w:t xml:space="preserve">We also remind the </w:t>
      </w:r>
      <w:r w:rsidRPr="00D36C3C">
        <w:t>Committee</w:t>
      </w:r>
      <w:r>
        <w:t xml:space="preserve"> of the </w:t>
      </w:r>
      <w:r w:rsidR="00D36C3C">
        <w:t>c</w:t>
      </w:r>
      <w:r w:rsidRPr="00D36C3C">
        <w:t xml:space="preserve">oncluding </w:t>
      </w:r>
      <w:r w:rsidR="00D36C3C">
        <w:t>o</w:t>
      </w:r>
      <w:r w:rsidRPr="00D36C3C">
        <w:t>bservations</w:t>
      </w:r>
      <w:r>
        <w:t xml:space="preserve"> of the United Nations </w:t>
      </w:r>
      <w:r w:rsidRPr="00D36C3C">
        <w:t>Committee</w:t>
      </w:r>
      <w:r>
        <w:t xml:space="preserve"> on the Rights of Persons with Disabilities on NZ’s first country report, paragraphs 30 to 32: </w:t>
      </w:r>
    </w:p>
    <w:p w14:paraId="5F319D03" w14:textId="77777777" w:rsidR="0067192B" w:rsidRPr="0067192B" w:rsidRDefault="0067192B" w:rsidP="0067192B">
      <w:pPr>
        <w:spacing w:line="276" w:lineRule="auto"/>
        <w:ind w:left="567"/>
        <w:jc w:val="both"/>
        <w:rPr>
          <w:rFonts w:ascii="Times New Roman" w:hAnsi="Times New Roman" w:cs="Times New Roman"/>
          <w:b/>
        </w:rPr>
      </w:pPr>
      <w:r w:rsidRPr="0067192B">
        <w:rPr>
          <w:rFonts w:ascii="Times New Roman" w:hAnsi="Times New Roman" w:cs="Times New Roman"/>
          <w:b/>
        </w:rPr>
        <w:t xml:space="preserve">30. The Committee recommends that the State party take all the immediate necessary legislative, administrative and judicial measures to ensure that no one is detained against their will in any medical facility on the basis of actual or perceived disability. The Committee also recommends that the State party ensure that all mental health services are provided </w:t>
      </w:r>
      <w:r w:rsidRPr="0067192B">
        <w:rPr>
          <w:rFonts w:ascii="Times New Roman" w:hAnsi="Times New Roman" w:cs="Times New Roman"/>
          <w:b/>
          <w:lang w:val="en-US"/>
        </w:rPr>
        <w:t>on the basis of</w:t>
      </w:r>
      <w:r w:rsidRPr="0067192B">
        <w:rPr>
          <w:rFonts w:ascii="Times New Roman" w:hAnsi="Times New Roman" w:cs="Times New Roman"/>
          <w:b/>
        </w:rPr>
        <w:t xml:space="preserve"> the free and informed consent of the person concerned, in accordance with the Convention. The Committee further </w:t>
      </w:r>
      <w:r w:rsidRPr="0067192B">
        <w:rPr>
          <w:rFonts w:ascii="Times New Roman" w:hAnsi="Times New Roman" w:cs="Times New Roman"/>
          <w:b/>
        </w:rPr>
        <w:lastRenderedPageBreak/>
        <w:t>recommends that the Mental Health (Compulsory Assessment and Treatment) Act 1992</w:t>
      </w:r>
      <w:r w:rsidRPr="0067192B">
        <w:rPr>
          <w:rFonts w:ascii="Times New Roman" w:hAnsi="Times New Roman" w:cs="Times New Roman"/>
          <w:b/>
          <w:lang w:val="en-US"/>
        </w:rPr>
        <w:t xml:space="preserve"> be amended to</w:t>
      </w:r>
      <w:r w:rsidRPr="0067192B">
        <w:rPr>
          <w:rFonts w:ascii="Times New Roman" w:hAnsi="Times New Roman" w:cs="Times New Roman"/>
          <w:b/>
        </w:rPr>
        <w:t xml:space="preserve"> comply with the Convention. </w:t>
      </w:r>
    </w:p>
    <w:p w14:paraId="0D615C3A" w14:textId="77777777" w:rsidR="0067192B" w:rsidRPr="0067192B" w:rsidRDefault="0067192B" w:rsidP="0067192B">
      <w:pPr>
        <w:spacing w:line="276" w:lineRule="auto"/>
        <w:ind w:left="567"/>
        <w:jc w:val="both"/>
        <w:rPr>
          <w:rFonts w:ascii="Times New Roman" w:hAnsi="Times New Roman" w:cs="Times New Roman"/>
          <w:b/>
        </w:rPr>
      </w:pPr>
      <w:r w:rsidRPr="0067192B">
        <w:rPr>
          <w:rFonts w:ascii="Times New Roman" w:hAnsi="Times New Roman" w:cs="Times New Roman"/>
          <w:b/>
        </w:rPr>
        <w:t>31. The Committee notes that the State party continues to allow the use of seclusion and restraints in psychiatric hospitals. Although there has been a decline in this practice, the situation is not satisfactory.</w:t>
      </w:r>
    </w:p>
    <w:p w14:paraId="189193D3" w14:textId="18737944" w:rsidR="004D53A5" w:rsidRDefault="0067192B" w:rsidP="0067192B">
      <w:pPr>
        <w:spacing w:line="276" w:lineRule="auto"/>
        <w:ind w:left="567"/>
        <w:rPr>
          <w:rFonts w:ascii="Times New Roman" w:hAnsi="Times New Roman" w:cs="Times New Roman"/>
          <w:b/>
        </w:rPr>
      </w:pPr>
      <w:r w:rsidRPr="0067192B">
        <w:rPr>
          <w:rFonts w:ascii="Times New Roman" w:hAnsi="Times New Roman" w:cs="Times New Roman"/>
          <w:b/>
        </w:rPr>
        <w:t xml:space="preserve">32. The Committee recommends that immediate steps be taken to eliminate the use of seclusion and restraints in medical facilities. </w:t>
      </w:r>
      <w:r w:rsidRPr="0067192B">
        <w:rPr>
          <w:rStyle w:val="EndnoteReference"/>
        </w:rPr>
        <w:endnoteReference w:id="2"/>
      </w:r>
    </w:p>
    <w:p w14:paraId="73E30459" w14:textId="77777777" w:rsidR="00F828B0" w:rsidRDefault="00F828B0" w:rsidP="00F828B0">
      <w:r>
        <w:t xml:space="preserve">DPA wishes to speak to this Submission.  </w:t>
      </w:r>
    </w:p>
    <w:p w14:paraId="44D85B46" w14:textId="7DE46E5F" w:rsidR="00325B34" w:rsidRDefault="0022747A" w:rsidP="00F828B0">
      <w:pPr>
        <w:pStyle w:val="Heading1"/>
        <w:ind w:left="0"/>
      </w:pPr>
      <w:r>
        <w:t xml:space="preserve">The United Nations Convention on the Rights of Persons with </w:t>
      </w:r>
      <w:r w:rsidR="00DA6EAE">
        <w:t>D</w:t>
      </w:r>
      <w:r>
        <w:t>isabilities</w:t>
      </w:r>
      <w:r w:rsidR="000C451E">
        <w:t xml:space="preserve"> (UNCRPD) </w:t>
      </w:r>
      <w:r>
        <w:t xml:space="preserve"> </w:t>
      </w:r>
    </w:p>
    <w:p w14:paraId="2A4C45CF" w14:textId="46D33E00" w:rsidR="000C451E" w:rsidRDefault="000C451E" w:rsidP="000C451E">
      <w:pPr>
        <w:rPr>
          <w:lang w:eastAsia="en-NZ"/>
        </w:rPr>
      </w:pPr>
      <w:r>
        <w:rPr>
          <w:lang w:eastAsia="en-NZ"/>
        </w:rPr>
        <w:t xml:space="preserve">The Articles of the </w:t>
      </w:r>
      <w:r w:rsidR="00F32775">
        <w:rPr>
          <w:lang w:eastAsia="en-NZ"/>
        </w:rPr>
        <w:t xml:space="preserve">UNCRPD most relevant to this submission are: </w:t>
      </w:r>
    </w:p>
    <w:p w14:paraId="7F12ADE1" w14:textId="6C69A97A" w:rsidR="009E1548" w:rsidRDefault="00FB1CA8" w:rsidP="009E1548">
      <w:pPr>
        <w:pStyle w:val="Heading2"/>
        <w:spacing w:line="360" w:lineRule="auto"/>
        <w:rPr>
          <w:rFonts w:ascii="Arial" w:hAnsi="Arial"/>
          <w:b/>
          <w:color w:val="000000" w:themeColor="text1"/>
          <w:sz w:val="24"/>
          <w:szCs w:val="24"/>
        </w:rPr>
      </w:pPr>
      <w:r w:rsidRPr="009E1548">
        <w:rPr>
          <w:rFonts w:ascii="Arial" w:hAnsi="Arial"/>
          <w:b/>
          <w:i/>
          <w:color w:val="000000" w:themeColor="text1"/>
          <w:sz w:val="24"/>
          <w:szCs w:val="24"/>
        </w:rPr>
        <w:t>Article 4.3</w:t>
      </w:r>
      <w:r w:rsidR="009E1548" w:rsidRPr="009E1548">
        <w:rPr>
          <w:rFonts w:ascii="Arial" w:hAnsi="Arial"/>
          <w:b/>
          <w:i/>
          <w:color w:val="000000" w:themeColor="text1"/>
          <w:sz w:val="24"/>
          <w:szCs w:val="24"/>
        </w:rPr>
        <w:t>:</w:t>
      </w:r>
      <w:r w:rsidR="009E1548">
        <w:rPr>
          <w:rFonts w:ascii="Arial" w:hAnsi="Arial"/>
          <w:b/>
          <w:color w:val="000000" w:themeColor="text1"/>
          <w:sz w:val="24"/>
          <w:szCs w:val="24"/>
        </w:rPr>
        <w:t xml:space="preserve"> </w:t>
      </w:r>
      <w:r w:rsidRPr="009E1548">
        <w:rPr>
          <w:rFonts w:ascii="Arial" w:hAnsi="Arial"/>
          <w:b/>
          <w:color w:val="000000" w:themeColor="text1"/>
          <w:sz w:val="24"/>
          <w:szCs w:val="24"/>
        </w:rPr>
        <w:t xml:space="preserve"> Actively engage with organisations of disabled people</w:t>
      </w:r>
    </w:p>
    <w:p w14:paraId="2C550726" w14:textId="3E7F06D3" w:rsidR="009E1548" w:rsidRDefault="009E1548" w:rsidP="009E1548">
      <w:pPr>
        <w:pStyle w:val="Heading2"/>
        <w:spacing w:line="360" w:lineRule="auto"/>
        <w:rPr>
          <w:rFonts w:ascii="Arial" w:hAnsi="Arial"/>
          <w:b/>
          <w:color w:val="000000" w:themeColor="text1"/>
          <w:sz w:val="24"/>
          <w:szCs w:val="24"/>
        </w:rPr>
      </w:pPr>
      <w:r w:rsidRPr="009E1548">
        <w:rPr>
          <w:rFonts w:ascii="Arial" w:hAnsi="Arial"/>
          <w:b/>
          <w:i/>
          <w:color w:val="000000" w:themeColor="text1"/>
          <w:sz w:val="24"/>
          <w:szCs w:val="24"/>
        </w:rPr>
        <w:t>Article 14:</w:t>
      </w:r>
      <w:r>
        <w:rPr>
          <w:rFonts w:ascii="Arial" w:hAnsi="Arial"/>
          <w:b/>
          <w:color w:val="000000" w:themeColor="text1"/>
          <w:sz w:val="24"/>
          <w:szCs w:val="24"/>
        </w:rPr>
        <w:t xml:space="preserve"> </w:t>
      </w:r>
      <w:r w:rsidRPr="009E1548">
        <w:rPr>
          <w:rFonts w:ascii="Arial" w:hAnsi="Arial"/>
          <w:b/>
          <w:color w:val="000000" w:themeColor="text1"/>
          <w:sz w:val="24"/>
          <w:szCs w:val="24"/>
        </w:rPr>
        <w:t xml:space="preserve"> Liberty and security of person</w:t>
      </w:r>
    </w:p>
    <w:p w14:paraId="0A073E23" w14:textId="4DD2FE9F" w:rsidR="009E1548" w:rsidRDefault="009E1548" w:rsidP="009E1548">
      <w:pPr>
        <w:pStyle w:val="Heading2"/>
        <w:spacing w:line="360" w:lineRule="auto"/>
        <w:rPr>
          <w:rFonts w:ascii="Arial" w:hAnsi="Arial"/>
          <w:b/>
          <w:bCs/>
          <w:color w:val="000000" w:themeColor="text1"/>
          <w:sz w:val="24"/>
          <w:szCs w:val="24"/>
        </w:rPr>
      </w:pPr>
      <w:r w:rsidRPr="009E1548">
        <w:rPr>
          <w:rFonts w:ascii="Arial" w:hAnsi="Arial"/>
          <w:b/>
          <w:i/>
          <w:color w:val="000000" w:themeColor="text1"/>
          <w:sz w:val="24"/>
          <w:szCs w:val="24"/>
          <w:shd w:val="clear" w:color="auto" w:fill="FFFFFF"/>
        </w:rPr>
        <w:t>Article 15:</w:t>
      </w:r>
      <w:r>
        <w:rPr>
          <w:rFonts w:ascii="Arial" w:hAnsi="Arial"/>
          <w:b/>
          <w:color w:val="000000" w:themeColor="text1"/>
          <w:sz w:val="24"/>
          <w:szCs w:val="24"/>
          <w:shd w:val="clear" w:color="auto" w:fill="FFFFFF"/>
        </w:rPr>
        <w:t xml:space="preserve"> </w:t>
      </w:r>
      <w:r w:rsidRPr="009E1548">
        <w:rPr>
          <w:rFonts w:ascii="Arial" w:hAnsi="Arial"/>
          <w:b/>
          <w:color w:val="000000" w:themeColor="text1"/>
          <w:sz w:val="24"/>
          <w:szCs w:val="24"/>
          <w:shd w:val="clear" w:color="auto" w:fill="FFFFFF"/>
        </w:rPr>
        <w:t xml:space="preserve"> Freedom from torture or cruel, inhuman or degrading treatment</w:t>
      </w:r>
      <w:r w:rsidRPr="009E1548">
        <w:rPr>
          <w:rFonts w:ascii="Arial" w:hAnsi="Arial"/>
          <w:b/>
          <w:bCs/>
          <w:color w:val="000000" w:themeColor="text1"/>
          <w:sz w:val="24"/>
          <w:szCs w:val="24"/>
        </w:rPr>
        <w:t xml:space="preserve"> </w:t>
      </w:r>
    </w:p>
    <w:p w14:paraId="030B135D" w14:textId="03EDBD7B" w:rsidR="009E1548" w:rsidRPr="009E1548" w:rsidRDefault="009E1548" w:rsidP="009E1548">
      <w:pPr>
        <w:pStyle w:val="Heading2"/>
        <w:spacing w:line="360" w:lineRule="auto"/>
        <w:rPr>
          <w:rFonts w:ascii="Arial" w:hAnsi="Arial"/>
          <w:b/>
          <w:color w:val="000000" w:themeColor="text1"/>
          <w:sz w:val="24"/>
          <w:szCs w:val="24"/>
        </w:rPr>
      </w:pPr>
      <w:r w:rsidRPr="009E1548">
        <w:rPr>
          <w:rFonts w:ascii="Arial" w:hAnsi="Arial"/>
          <w:b/>
          <w:bCs/>
          <w:i/>
          <w:color w:val="000000" w:themeColor="text1"/>
          <w:sz w:val="24"/>
          <w:szCs w:val="24"/>
        </w:rPr>
        <w:t>Article 17:</w:t>
      </w:r>
      <w:r>
        <w:rPr>
          <w:rFonts w:ascii="Arial" w:hAnsi="Arial"/>
          <w:b/>
          <w:bCs/>
          <w:color w:val="000000" w:themeColor="text1"/>
          <w:sz w:val="24"/>
          <w:szCs w:val="24"/>
        </w:rPr>
        <w:t xml:space="preserve"> </w:t>
      </w:r>
      <w:r w:rsidRPr="009E1548">
        <w:rPr>
          <w:rFonts w:ascii="Arial" w:hAnsi="Arial"/>
          <w:b/>
          <w:bCs/>
          <w:color w:val="000000" w:themeColor="text1"/>
          <w:sz w:val="24"/>
          <w:szCs w:val="24"/>
        </w:rPr>
        <w:t xml:space="preserve"> Protecting the integrity of the person</w:t>
      </w:r>
    </w:p>
    <w:p w14:paraId="0871BA00" w14:textId="528ADCFE" w:rsidR="08959572" w:rsidRPr="009E1548" w:rsidRDefault="00446C1F" w:rsidP="009E1548">
      <w:pPr>
        <w:pStyle w:val="Heading1"/>
      </w:pPr>
      <w:bookmarkStart w:id="0" w:name="text"/>
      <w:bookmarkEnd w:id="0"/>
      <w:r>
        <w:rPr>
          <w:rFonts w:ascii="inherit" w:hAnsi="inherit"/>
        </w:rPr>
        <w:t> </w:t>
      </w:r>
      <w:r w:rsidR="009E1548">
        <w:t xml:space="preserve">Specific comments on the Bill </w:t>
      </w:r>
    </w:p>
    <w:p w14:paraId="716D363D" w14:textId="3F7154C0" w:rsidR="0067192B" w:rsidRPr="00D756E8" w:rsidRDefault="0067192B" w:rsidP="08959572">
      <w:pPr>
        <w:rPr>
          <w:rFonts w:cs="Arial"/>
          <w:color w:val="000000" w:themeColor="text1"/>
        </w:rPr>
      </w:pPr>
      <w:r w:rsidRPr="08959572">
        <w:rPr>
          <w:rFonts w:cs="Arial"/>
          <w:b/>
          <w:bCs/>
          <w:i/>
          <w:iCs/>
        </w:rPr>
        <w:t>Clause 5, which amends Section 9:</w:t>
      </w:r>
      <w:r w:rsidRPr="08959572">
        <w:rPr>
          <w:rFonts w:cs="Arial"/>
        </w:rPr>
        <w:t xml:space="preserve"> </w:t>
      </w:r>
    </w:p>
    <w:p w14:paraId="6F530521" w14:textId="48400D8A" w:rsidR="0067192B" w:rsidRPr="00D756E8" w:rsidRDefault="0067192B" w:rsidP="08959572">
      <w:pPr>
        <w:rPr>
          <w:rFonts w:cs="Arial"/>
          <w:color w:val="000000"/>
          <w:shd w:val="clear" w:color="auto" w:fill="FFFFFF"/>
        </w:rPr>
      </w:pPr>
      <w:r w:rsidRPr="08959572">
        <w:rPr>
          <w:rFonts w:cs="Arial"/>
        </w:rPr>
        <w:t>DPA supports the provisions for a family member</w:t>
      </w:r>
      <w:r w:rsidR="004906B0" w:rsidRPr="08959572">
        <w:rPr>
          <w:rFonts w:cs="Arial"/>
        </w:rPr>
        <w:t>,</w:t>
      </w:r>
      <w:r w:rsidRPr="08959572">
        <w:rPr>
          <w:rFonts w:cs="Arial"/>
        </w:rPr>
        <w:t xml:space="preserve"> or someone concerned with the welfare of the proposed patient</w:t>
      </w:r>
      <w:r w:rsidR="004906B0" w:rsidRPr="08959572">
        <w:rPr>
          <w:rFonts w:cs="Arial"/>
        </w:rPr>
        <w:t>,</w:t>
      </w:r>
      <w:r w:rsidRPr="08959572">
        <w:rPr>
          <w:rFonts w:cs="Arial"/>
        </w:rPr>
        <w:t xml:space="preserve"> being able to be present by audio or visual link when </w:t>
      </w:r>
      <w:r w:rsidRPr="08959572">
        <w:rPr>
          <w:rFonts w:cs="Arial"/>
          <w:color w:val="000000"/>
          <w:shd w:val="clear" w:color="auto" w:fill="FFFFFF"/>
        </w:rPr>
        <w:t>the purpose of the assessment examination and the requirements of the notice given under section 9(2)(c) are explained to the proposed patient.</w:t>
      </w:r>
    </w:p>
    <w:p w14:paraId="0D3BF47D" w14:textId="77777777" w:rsidR="000F2A10" w:rsidRDefault="000F2A10" w:rsidP="08959572">
      <w:pPr>
        <w:spacing w:before="100" w:beforeAutospacing="1" w:after="100" w:afterAutospacing="1"/>
        <w:rPr>
          <w:rFonts w:cs="Arial"/>
          <w:b/>
          <w:bCs/>
          <w:i/>
          <w:iCs/>
          <w:color w:val="000000"/>
          <w:bdr w:val="none" w:sz="0" w:space="0" w:color="auto" w:frame="1"/>
        </w:rPr>
      </w:pPr>
    </w:p>
    <w:p w14:paraId="3D6C5605" w14:textId="501F1489" w:rsidR="0067192B" w:rsidRPr="000F2A10" w:rsidRDefault="0067192B" w:rsidP="08959572">
      <w:pPr>
        <w:spacing w:before="100" w:beforeAutospacing="1" w:after="100" w:afterAutospacing="1"/>
        <w:rPr>
          <w:rFonts w:eastAsia="Times New Roman" w:cs="Arial"/>
          <w:color w:val="202020"/>
        </w:rPr>
      </w:pPr>
      <w:r w:rsidRPr="08959572">
        <w:rPr>
          <w:rFonts w:cs="Arial"/>
          <w:b/>
          <w:bCs/>
          <w:i/>
          <w:iCs/>
          <w:color w:val="000000"/>
          <w:bdr w:val="none" w:sz="0" w:space="0" w:color="auto" w:frame="1"/>
        </w:rPr>
        <w:t>Clause 8</w:t>
      </w:r>
      <w:r w:rsidRPr="08959572">
        <w:rPr>
          <w:rFonts w:cs="Arial"/>
          <w:b/>
          <w:bCs/>
          <w:i/>
          <w:iCs/>
          <w:color w:val="000000"/>
          <w:shd w:val="clear" w:color="auto" w:fill="FFFFFF"/>
        </w:rPr>
        <w:t> inserts, </w:t>
      </w:r>
      <w:r w:rsidRPr="08959572">
        <w:rPr>
          <w:rFonts w:cs="Arial"/>
          <w:b/>
          <w:bCs/>
          <w:i/>
          <w:iCs/>
          <w:color w:val="000000"/>
          <w:bdr w:val="none" w:sz="0" w:space="0" w:color="auto" w:frame="1"/>
        </w:rPr>
        <w:t>new sections 34A to 34D</w:t>
      </w:r>
      <w:r w:rsidRPr="08959572">
        <w:rPr>
          <w:rFonts w:cs="Arial"/>
          <w:b/>
          <w:bCs/>
          <w:i/>
          <w:iCs/>
          <w:color w:val="000000"/>
          <w:shd w:val="clear" w:color="auto" w:fill="FFFFFF"/>
        </w:rPr>
        <w:t>:</w:t>
      </w:r>
      <w:r w:rsidRPr="08959572">
        <w:rPr>
          <w:rFonts w:cs="Arial"/>
          <w:color w:val="000000"/>
          <w:shd w:val="clear" w:color="auto" w:fill="FFFFFF"/>
        </w:rPr>
        <w:t xml:space="preserve"> </w:t>
      </w:r>
    </w:p>
    <w:p w14:paraId="5BE386E5" w14:textId="2F9611B3" w:rsidR="08959572" w:rsidRPr="000F2A10" w:rsidRDefault="0067192B" w:rsidP="000F2A10">
      <w:pPr>
        <w:spacing w:before="100" w:beforeAutospacing="1" w:after="100" w:afterAutospacing="1"/>
        <w:rPr>
          <w:rFonts w:eastAsia="Times New Roman" w:cs="Arial"/>
          <w:color w:val="202020"/>
        </w:rPr>
      </w:pPr>
      <w:r w:rsidRPr="08959572">
        <w:rPr>
          <w:rFonts w:cs="Arial"/>
          <w:color w:val="000000"/>
          <w:shd w:val="clear" w:color="auto" w:fill="FFFFFF"/>
        </w:rPr>
        <w:lastRenderedPageBreak/>
        <w:t xml:space="preserve">DPA </w:t>
      </w:r>
      <w:r w:rsidR="00B72DF4">
        <w:rPr>
          <w:rFonts w:cs="Arial"/>
          <w:color w:val="000000"/>
          <w:shd w:val="clear" w:color="auto" w:fill="FFFFFF"/>
        </w:rPr>
        <w:t xml:space="preserve">notes </w:t>
      </w:r>
      <w:r w:rsidRPr="08959572">
        <w:rPr>
          <w:rFonts w:cs="Arial"/>
          <w:color w:val="000000"/>
          <w:shd w:val="clear" w:color="auto" w:fill="FFFFFF"/>
        </w:rPr>
        <w:t xml:space="preserve">the removal of indefinite compulsory treatment orders and their replacement with 12-monthly reviews </w:t>
      </w:r>
      <w:r w:rsidRPr="08959572">
        <w:rPr>
          <w:rFonts w:eastAsia="Times New Roman" w:cs="Arial"/>
          <w:color w:val="202020"/>
        </w:rPr>
        <w:t>of compulsory treatment orders</w:t>
      </w:r>
      <w:r w:rsidR="00B55F8A">
        <w:rPr>
          <w:rFonts w:eastAsia="Times New Roman" w:cs="Arial"/>
          <w:color w:val="202020"/>
        </w:rPr>
        <w:t xml:space="preserve">, and again reminds the Select </w:t>
      </w:r>
      <w:r w:rsidR="004C1544">
        <w:rPr>
          <w:rFonts w:eastAsia="Times New Roman" w:cs="Arial"/>
          <w:color w:val="202020"/>
        </w:rPr>
        <w:t>Committee, of</w:t>
      </w:r>
      <w:r w:rsidR="00D341D1">
        <w:rPr>
          <w:rFonts w:eastAsia="Times New Roman" w:cs="Arial"/>
          <w:color w:val="202020"/>
        </w:rPr>
        <w:t xml:space="preserve"> </w:t>
      </w:r>
      <w:r w:rsidR="004C1544">
        <w:rPr>
          <w:rFonts w:eastAsia="Times New Roman" w:cs="Arial"/>
          <w:color w:val="202020"/>
        </w:rPr>
        <w:t xml:space="preserve">Paragraph  </w:t>
      </w:r>
      <w:r w:rsidR="007A153C">
        <w:rPr>
          <w:rFonts w:eastAsia="Times New Roman" w:cs="Arial"/>
          <w:color w:val="202020"/>
        </w:rPr>
        <w:t xml:space="preserve"> </w:t>
      </w:r>
      <w:r w:rsidR="00D341D1">
        <w:rPr>
          <w:rFonts w:eastAsia="Times New Roman" w:cs="Arial"/>
          <w:color w:val="202020"/>
        </w:rPr>
        <w:t xml:space="preserve">30 of the </w:t>
      </w:r>
      <w:r w:rsidR="00B42A8C">
        <w:rPr>
          <w:rFonts w:eastAsia="Times New Roman" w:cs="Arial"/>
          <w:color w:val="202020"/>
        </w:rPr>
        <w:t xml:space="preserve">UN </w:t>
      </w:r>
      <w:r w:rsidR="00DA299B" w:rsidRPr="00D36C3C">
        <w:t>Committee</w:t>
      </w:r>
      <w:r w:rsidR="00DA299B">
        <w:t xml:space="preserve"> on the Rights of Persons with Disabilities</w:t>
      </w:r>
      <w:r w:rsidR="004F4F77">
        <w:t xml:space="preserve">’ </w:t>
      </w:r>
      <w:r w:rsidR="00446CA3">
        <w:t>Concluding Observations.</w:t>
      </w:r>
      <w:r w:rsidRPr="08959572">
        <w:rPr>
          <w:rFonts w:eastAsia="Times New Roman" w:cs="Arial"/>
          <w:color w:val="202020"/>
        </w:rPr>
        <w:t xml:space="preserve"> We support the setting out of how a court must deal with such a review. </w:t>
      </w:r>
    </w:p>
    <w:p w14:paraId="6615282C" w14:textId="53639D4A" w:rsidR="0067192B" w:rsidRPr="0067192B" w:rsidRDefault="0067192B" w:rsidP="08959572">
      <w:pPr>
        <w:spacing w:before="100" w:beforeAutospacing="1" w:after="100" w:afterAutospacing="1"/>
        <w:rPr>
          <w:color w:val="000000" w:themeColor="text1"/>
        </w:rPr>
      </w:pPr>
      <w:r w:rsidRPr="08959572">
        <w:rPr>
          <w:b/>
          <w:bCs/>
          <w:i/>
          <w:iCs/>
          <w:color w:val="000000"/>
          <w:bdr w:val="none" w:sz="0" w:space="0" w:color="auto" w:frame="1"/>
        </w:rPr>
        <w:t>Clause 9</w:t>
      </w:r>
      <w:r w:rsidRPr="08959572">
        <w:rPr>
          <w:b/>
          <w:bCs/>
          <w:i/>
          <w:iCs/>
          <w:color w:val="000000"/>
          <w:shd w:val="clear" w:color="auto" w:fill="FFFFFF"/>
        </w:rPr>
        <w:t> inserts </w:t>
      </w:r>
      <w:r w:rsidRPr="08959572">
        <w:rPr>
          <w:b/>
          <w:bCs/>
          <w:i/>
          <w:iCs/>
          <w:color w:val="000000"/>
          <w:bdr w:val="none" w:sz="0" w:space="0" w:color="auto" w:frame="1"/>
        </w:rPr>
        <w:t>new section 53A</w:t>
      </w:r>
      <w:r w:rsidRPr="08959572">
        <w:rPr>
          <w:b/>
          <w:bCs/>
          <w:i/>
          <w:iCs/>
          <w:color w:val="000000"/>
          <w:shd w:val="clear" w:color="auto" w:fill="FFFFFF"/>
        </w:rPr>
        <w:t>, which provides for the transport of special patients for the purposes of Part 4 of the principal Act and for attendance at court or parole board hearings:</w:t>
      </w:r>
      <w:r w:rsidRPr="08959572">
        <w:rPr>
          <w:color w:val="000000"/>
          <w:shd w:val="clear" w:color="auto" w:fill="FFFFFF"/>
        </w:rPr>
        <w:t xml:space="preserve"> </w:t>
      </w:r>
    </w:p>
    <w:p w14:paraId="075C8C73" w14:textId="400D2E99" w:rsidR="0067192B" w:rsidRPr="0067192B" w:rsidRDefault="0067192B" w:rsidP="08959572">
      <w:pPr>
        <w:spacing w:before="100" w:beforeAutospacing="1" w:after="100" w:afterAutospacing="1"/>
        <w:rPr>
          <w:color w:val="000000"/>
          <w:shd w:val="clear" w:color="auto" w:fill="FFFFFF"/>
        </w:rPr>
      </w:pPr>
      <w:r w:rsidRPr="08959572">
        <w:rPr>
          <w:color w:val="000000"/>
          <w:shd w:val="clear" w:color="auto" w:fill="FFFFFF"/>
        </w:rPr>
        <w:t xml:space="preserve">DPA believes that the wording of this section is too ambiguous and could allow patients to be restricted in ways which are unnecessary. </w:t>
      </w:r>
    </w:p>
    <w:p w14:paraId="0484CD48" w14:textId="3C05972B" w:rsidR="0067192B" w:rsidRDefault="0067192B" w:rsidP="0067192B">
      <w:pPr>
        <w:spacing w:before="100" w:beforeAutospacing="1" w:after="100" w:afterAutospacing="1"/>
        <w:rPr>
          <w:color w:val="000000"/>
          <w:szCs w:val="24"/>
          <w:shd w:val="clear" w:color="auto" w:fill="FFFFFF"/>
        </w:rPr>
      </w:pPr>
      <w:r w:rsidRPr="0067192B">
        <w:rPr>
          <w:color w:val="000000"/>
          <w:szCs w:val="24"/>
          <w:shd w:val="clear" w:color="auto" w:fill="FFFFFF"/>
        </w:rPr>
        <w:t>We are pleased that a transport management plan</w:t>
      </w:r>
      <w:r>
        <w:rPr>
          <w:color w:val="000000"/>
          <w:szCs w:val="24"/>
          <w:shd w:val="clear" w:color="auto" w:fill="FFFFFF"/>
        </w:rPr>
        <w:t>,</w:t>
      </w:r>
      <w:r w:rsidRPr="0067192B">
        <w:rPr>
          <w:color w:val="000000"/>
          <w:szCs w:val="24"/>
          <w:shd w:val="clear" w:color="auto" w:fill="FFFFFF"/>
        </w:rPr>
        <w:t xml:space="preserve"> which includes details of restraint to be used</w:t>
      </w:r>
      <w:r>
        <w:rPr>
          <w:color w:val="000000"/>
          <w:szCs w:val="24"/>
          <w:shd w:val="clear" w:color="auto" w:fill="FFFFFF"/>
        </w:rPr>
        <w:t>,</w:t>
      </w:r>
      <w:r w:rsidRPr="0067192B">
        <w:rPr>
          <w:color w:val="000000"/>
          <w:szCs w:val="24"/>
          <w:shd w:val="clear" w:color="auto" w:fill="FFFFFF"/>
        </w:rPr>
        <w:t xml:space="preserve"> is legislated for</w:t>
      </w:r>
      <w:r>
        <w:rPr>
          <w:color w:val="000000"/>
          <w:szCs w:val="24"/>
          <w:shd w:val="clear" w:color="auto" w:fill="FFFFFF"/>
        </w:rPr>
        <w:t xml:space="preserve">. </w:t>
      </w:r>
      <w:r w:rsidRPr="0067192B">
        <w:rPr>
          <w:color w:val="000000"/>
          <w:szCs w:val="24"/>
          <w:shd w:val="clear" w:color="auto" w:fill="FFFFFF"/>
        </w:rPr>
        <w:t xml:space="preserve"> </w:t>
      </w:r>
      <w:r>
        <w:rPr>
          <w:color w:val="000000"/>
          <w:szCs w:val="24"/>
          <w:shd w:val="clear" w:color="auto" w:fill="FFFFFF"/>
        </w:rPr>
        <w:t>H</w:t>
      </w:r>
      <w:r w:rsidRPr="0067192B">
        <w:rPr>
          <w:color w:val="000000"/>
          <w:szCs w:val="24"/>
          <w:shd w:val="clear" w:color="auto" w:fill="FFFFFF"/>
        </w:rPr>
        <w:t>owever</w:t>
      </w:r>
      <w:r>
        <w:rPr>
          <w:color w:val="000000"/>
          <w:szCs w:val="24"/>
          <w:shd w:val="clear" w:color="auto" w:fill="FFFFFF"/>
        </w:rPr>
        <w:t>,</w:t>
      </w:r>
      <w:r w:rsidRPr="0067192B">
        <w:rPr>
          <w:color w:val="000000"/>
          <w:szCs w:val="24"/>
          <w:shd w:val="clear" w:color="auto" w:fill="FFFFFF"/>
        </w:rPr>
        <w:t xml:space="preserve"> we believe that Section 53A (3( (B) is to</w:t>
      </w:r>
      <w:r>
        <w:rPr>
          <w:color w:val="000000"/>
          <w:szCs w:val="24"/>
          <w:shd w:val="clear" w:color="auto" w:fill="FFFFFF"/>
        </w:rPr>
        <w:t>o</w:t>
      </w:r>
      <w:r w:rsidRPr="0067192B">
        <w:rPr>
          <w:color w:val="000000"/>
          <w:szCs w:val="24"/>
          <w:shd w:val="clear" w:color="auto" w:fill="FFFFFF"/>
        </w:rPr>
        <w:t xml:space="preserve"> vague: </w:t>
      </w:r>
    </w:p>
    <w:p w14:paraId="75C3EACA" w14:textId="481B8C88" w:rsidR="0067192B" w:rsidRDefault="0067192B" w:rsidP="0067192B">
      <w:pPr>
        <w:spacing w:before="100" w:beforeAutospacing="1" w:after="100" w:afterAutospacing="1" w:line="276" w:lineRule="auto"/>
        <w:ind w:left="567"/>
        <w:jc w:val="both"/>
        <w:rPr>
          <w:rFonts w:ascii="Times New Roman" w:hAnsi="Times New Roman" w:cs="Times New Roman"/>
          <w:b/>
          <w:color w:val="000000"/>
          <w:szCs w:val="24"/>
          <w:shd w:val="clear" w:color="auto" w:fill="FFFFFF"/>
        </w:rPr>
      </w:pPr>
      <w:r w:rsidRPr="0067192B">
        <w:rPr>
          <w:rFonts w:ascii="Times New Roman" w:hAnsi="Times New Roman" w:cs="Times New Roman"/>
          <w:b/>
          <w:color w:val="000000"/>
          <w:szCs w:val="24"/>
          <w:shd w:val="clear" w:color="auto" w:fill="FFFFFF"/>
        </w:rPr>
        <w:t>“any other use of force in respect of the patient that is reasonably necessary in the circumstances.”</w:t>
      </w:r>
    </w:p>
    <w:p w14:paraId="78134AF4" w14:textId="1E3C802C" w:rsidR="0067192B" w:rsidRDefault="0067192B" w:rsidP="0067192B">
      <w:pPr>
        <w:spacing w:before="100" w:beforeAutospacing="1" w:after="100" w:afterAutospacing="1"/>
        <w:jc w:val="both"/>
        <w:rPr>
          <w:rFonts w:cs="Arial"/>
          <w:color w:val="000000"/>
          <w:szCs w:val="24"/>
          <w:shd w:val="clear" w:color="auto" w:fill="FFFFFF"/>
        </w:rPr>
      </w:pPr>
      <w:r>
        <w:rPr>
          <w:rFonts w:cs="Arial"/>
          <w:color w:val="000000"/>
          <w:szCs w:val="24"/>
          <w:shd w:val="clear" w:color="auto" w:fill="FFFFFF"/>
        </w:rPr>
        <w:t>We believe that Section 53A (3) )A) is sufficient to protect both the patient and the public:</w:t>
      </w:r>
    </w:p>
    <w:p w14:paraId="172F7159" w14:textId="5BBF5E72" w:rsidR="0067192B" w:rsidRDefault="0067192B" w:rsidP="0067192B">
      <w:pPr>
        <w:spacing w:before="100" w:beforeAutospacing="1" w:after="100" w:afterAutospacing="1" w:line="276" w:lineRule="auto"/>
        <w:ind w:left="567"/>
        <w:jc w:val="both"/>
        <w:rPr>
          <w:rFonts w:ascii="Times New Roman" w:hAnsi="Times New Roman" w:cs="Times New Roman"/>
          <w:b/>
          <w:color w:val="000000"/>
          <w:szCs w:val="24"/>
          <w:shd w:val="clear" w:color="auto" w:fill="FFFFFF"/>
        </w:rPr>
      </w:pPr>
      <w:r w:rsidRPr="0067192B">
        <w:rPr>
          <w:rFonts w:ascii="Times New Roman" w:hAnsi="Times New Roman" w:cs="Times New Roman"/>
          <w:b/>
          <w:color w:val="000000"/>
          <w:szCs w:val="24"/>
          <w:shd w:val="clear" w:color="auto" w:fill="FFFFFF"/>
        </w:rPr>
        <w:t>“the restraint of a transported special patient that is the least restrictive option for both the safety of the patient and the public</w:t>
      </w:r>
      <w:r>
        <w:rPr>
          <w:rFonts w:ascii="Times New Roman" w:hAnsi="Times New Roman" w:cs="Times New Roman"/>
          <w:b/>
          <w:color w:val="000000"/>
          <w:szCs w:val="24"/>
          <w:shd w:val="clear" w:color="auto" w:fill="FFFFFF"/>
        </w:rPr>
        <w:t>.</w:t>
      </w:r>
      <w:r w:rsidRPr="0067192B">
        <w:rPr>
          <w:rFonts w:ascii="Times New Roman" w:hAnsi="Times New Roman" w:cs="Times New Roman"/>
          <w:b/>
          <w:color w:val="000000"/>
          <w:szCs w:val="24"/>
          <w:shd w:val="clear" w:color="auto" w:fill="FFFFFF"/>
        </w:rPr>
        <w:t>”</w:t>
      </w:r>
    </w:p>
    <w:p w14:paraId="121C1CCE" w14:textId="059F4916" w:rsidR="0067192B" w:rsidRDefault="0067192B" w:rsidP="0067192B">
      <w:pPr>
        <w:spacing w:before="100" w:beforeAutospacing="1" w:after="100" w:afterAutospacing="1"/>
        <w:jc w:val="both"/>
        <w:rPr>
          <w:rFonts w:cs="Arial"/>
          <w:color w:val="000000"/>
          <w:szCs w:val="24"/>
          <w:shd w:val="clear" w:color="auto" w:fill="FFFFFF"/>
        </w:rPr>
      </w:pPr>
      <w:r>
        <w:rPr>
          <w:rFonts w:cs="Arial"/>
          <w:color w:val="000000"/>
          <w:szCs w:val="24"/>
          <w:shd w:val="clear" w:color="auto" w:fill="FFFFFF"/>
        </w:rPr>
        <w:t xml:space="preserve">This is </w:t>
      </w:r>
      <w:r w:rsidRPr="00D36C3C">
        <w:rPr>
          <w:rFonts w:cs="Arial"/>
          <w:color w:val="000000"/>
          <w:szCs w:val="24"/>
          <w:shd w:val="clear" w:color="auto" w:fill="FFFFFF"/>
        </w:rPr>
        <w:t>sufficient</w:t>
      </w:r>
      <w:r>
        <w:rPr>
          <w:rFonts w:cs="Arial"/>
          <w:color w:val="000000"/>
          <w:szCs w:val="24"/>
          <w:shd w:val="clear" w:color="auto" w:fill="FFFFFF"/>
        </w:rPr>
        <w:t xml:space="preserve"> and much less open to interpretation than the open-ended:</w:t>
      </w:r>
    </w:p>
    <w:p w14:paraId="1A6FD6C3" w14:textId="2B31D67F" w:rsidR="08959572" w:rsidRPr="000F2A10" w:rsidRDefault="0067192B" w:rsidP="000F2A10">
      <w:pPr>
        <w:spacing w:before="100" w:beforeAutospacing="1" w:after="100" w:afterAutospacing="1" w:line="276" w:lineRule="auto"/>
        <w:ind w:left="567"/>
        <w:jc w:val="both"/>
        <w:rPr>
          <w:rFonts w:ascii="Times New Roman" w:hAnsi="Times New Roman" w:cs="Times New Roman"/>
          <w:b/>
          <w:color w:val="000000"/>
          <w:szCs w:val="24"/>
          <w:shd w:val="clear" w:color="auto" w:fill="FFFFFF"/>
        </w:rPr>
      </w:pPr>
      <w:r w:rsidRPr="08959572">
        <w:rPr>
          <w:rFonts w:ascii="Times New Roman" w:hAnsi="Times New Roman" w:cs="Times New Roman"/>
          <w:b/>
          <w:bCs/>
          <w:color w:val="000000"/>
          <w:shd w:val="clear" w:color="auto" w:fill="FFFFFF"/>
        </w:rPr>
        <w:t>“any other use of force in respect of the patient that is reasonably necessary in the circumstances.”</w:t>
      </w:r>
    </w:p>
    <w:p w14:paraId="502B5FA7" w14:textId="14961DF0" w:rsidR="0067192B" w:rsidRPr="007044A6" w:rsidRDefault="08959572" w:rsidP="0067192B">
      <w:pPr>
        <w:spacing w:before="100" w:beforeAutospacing="1" w:after="100" w:afterAutospacing="1"/>
        <w:rPr>
          <w:rFonts w:eastAsia="Times New Roman" w:cs="Arial"/>
          <w:color w:val="202020"/>
          <w:szCs w:val="24"/>
          <w:lang w:eastAsia="zh-CN"/>
        </w:rPr>
      </w:pPr>
      <w:r w:rsidRPr="08959572">
        <w:rPr>
          <w:rFonts w:eastAsia="Times New Roman" w:cs="Arial"/>
          <w:color w:val="202020"/>
          <w:lang w:eastAsia="zh-CN"/>
        </w:rPr>
        <w:t xml:space="preserve">We are also concerned that guidance on this section of transporting such patients does not have to be produced until 12 months after the coming into force of this Section. This is far too long and could lead to unnecessary restraint and force being used for an entire year. </w:t>
      </w:r>
    </w:p>
    <w:p w14:paraId="4250FBA3" w14:textId="061B6DD5" w:rsidR="08959572" w:rsidRDefault="08959572" w:rsidP="08959572">
      <w:pPr>
        <w:spacing w:beforeAutospacing="1" w:afterAutospacing="1"/>
        <w:rPr>
          <w:rFonts w:eastAsia="Times New Roman" w:cs="Arial"/>
          <w:color w:val="202020"/>
          <w:lang w:eastAsia="zh-CN"/>
        </w:rPr>
      </w:pPr>
    </w:p>
    <w:p w14:paraId="7051EB33" w14:textId="31FE9124" w:rsidR="08959572" w:rsidRPr="000F2A10" w:rsidRDefault="08959572" w:rsidP="000F2A10">
      <w:pPr>
        <w:spacing w:before="100" w:beforeAutospacing="1" w:after="100" w:afterAutospacing="1"/>
        <w:rPr>
          <w:rFonts w:eastAsia="Times New Roman" w:cs="Arial"/>
          <w:color w:val="202020"/>
          <w:szCs w:val="24"/>
          <w:lang w:eastAsia="zh-CN"/>
        </w:rPr>
      </w:pPr>
      <w:r w:rsidRPr="08959572">
        <w:rPr>
          <w:rFonts w:eastAsia="Times New Roman" w:cs="Arial"/>
          <w:color w:val="202020"/>
          <w:lang w:eastAsia="zh-CN"/>
        </w:rPr>
        <w:lastRenderedPageBreak/>
        <w:t xml:space="preserve">We believe that the guidance should be produced three months before this section comes into force to allow staff time to understand the new legislation. </w:t>
      </w:r>
    </w:p>
    <w:p w14:paraId="2F14EF5E" w14:textId="4A4B5C6D" w:rsidR="08959572" w:rsidRPr="002565C8" w:rsidRDefault="08959572" w:rsidP="002565C8">
      <w:pPr>
        <w:rPr>
          <w:rFonts w:eastAsia="Times New Roman" w:cs="Arial"/>
          <w:color w:val="202020"/>
          <w:szCs w:val="24"/>
          <w:lang w:eastAsia="zh-CN"/>
        </w:rPr>
      </w:pPr>
      <w:r w:rsidRPr="08959572">
        <w:rPr>
          <w:rFonts w:eastAsia="Times New Roman" w:cs="Arial"/>
          <w:color w:val="202020"/>
          <w:lang w:eastAsia="zh-CN"/>
        </w:rPr>
        <w:t xml:space="preserve">We are pleased that the Bill allows for greater transparency and reporting on the use of compulsory treatment orders by Directors of Area Mental Health Services. </w:t>
      </w:r>
    </w:p>
    <w:p w14:paraId="70A8BC72" w14:textId="46220220" w:rsidR="0067192B" w:rsidRDefault="0067192B" w:rsidP="0067192B">
      <w:pPr>
        <w:pStyle w:val="Heading1"/>
      </w:pPr>
      <w:r>
        <w:t>Further reform of the Mental Health Act needed</w:t>
      </w:r>
    </w:p>
    <w:p w14:paraId="2F1BDF11" w14:textId="1A4B55A9" w:rsidR="007044A6" w:rsidRPr="007044A6" w:rsidRDefault="08959572" w:rsidP="08959572">
      <w:pPr>
        <w:rPr>
          <w:rFonts w:cs="Arial"/>
          <w:color w:val="202020"/>
          <w:lang w:eastAsia="zh-CN"/>
        </w:rPr>
      </w:pPr>
      <w:r w:rsidRPr="08959572">
        <w:rPr>
          <w:rFonts w:cs="Arial"/>
          <w:color w:val="202020"/>
        </w:rPr>
        <w:t xml:space="preserve">Along with many others, DPA supports the full adoption of He Ara </w:t>
      </w:r>
      <w:proofErr w:type="spellStart"/>
      <w:r w:rsidRPr="08959572">
        <w:rPr>
          <w:rStyle w:val="Emphasis"/>
          <w:color w:val="202020"/>
        </w:rPr>
        <w:t>Oranga’s</w:t>
      </w:r>
      <w:proofErr w:type="spellEnd"/>
      <w:r w:rsidRPr="08959572">
        <w:rPr>
          <w:rFonts w:cs="Arial"/>
          <w:color w:val="202020"/>
        </w:rPr>
        <w:t xml:space="preserve"> recommendation that the Act be repealed and replaced.  At a minimum, any new law should include: </w:t>
      </w:r>
    </w:p>
    <w:p w14:paraId="5B495B60" w14:textId="0B2E483C" w:rsidR="007044A6" w:rsidRPr="007044A6" w:rsidRDefault="007044A6" w:rsidP="007044A6">
      <w:pPr>
        <w:numPr>
          <w:ilvl w:val="0"/>
          <w:numId w:val="15"/>
        </w:numPr>
        <w:spacing w:before="100" w:beforeAutospacing="1" w:after="100" w:afterAutospacing="1"/>
        <w:rPr>
          <w:rFonts w:eastAsia="Times New Roman" w:cs="Arial"/>
          <w:color w:val="202020"/>
          <w:szCs w:val="24"/>
        </w:rPr>
      </w:pPr>
      <w:r>
        <w:rPr>
          <w:rFonts w:eastAsia="Times New Roman" w:cs="Arial"/>
          <w:color w:val="202020"/>
          <w:szCs w:val="24"/>
        </w:rPr>
        <w:t>The elimination of s</w:t>
      </w:r>
      <w:r w:rsidRPr="007044A6">
        <w:rPr>
          <w:rFonts w:eastAsia="Times New Roman" w:cs="Arial"/>
          <w:color w:val="202020"/>
          <w:szCs w:val="24"/>
        </w:rPr>
        <w:t>eclusion and restraint within compulsory treatment orders. </w:t>
      </w:r>
    </w:p>
    <w:p w14:paraId="284367AA" w14:textId="77777777" w:rsidR="007044A6" w:rsidRPr="007044A6" w:rsidRDefault="007044A6" w:rsidP="007044A6">
      <w:pPr>
        <w:numPr>
          <w:ilvl w:val="0"/>
          <w:numId w:val="15"/>
        </w:numPr>
        <w:spacing w:before="100" w:beforeAutospacing="1" w:after="100" w:afterAutospacing="1"/>
        <w:rPr>
          <w:rFonts w:eastAsia="Times New Roman" w:cs="Arial"/>
          <w:color w:val="202020"/>
          <w:szCs w:val="24"/>
        </w:rPr>
      </w:pPr>
      <w:r w:rsidRPr="007044A6">
        <w:rPr>
          <w:rFonts w:eastAsia="Times New Roman" w:cs="Arial"/>
          <w:color w:val="202020"/>
          <w:szCs w:val="24"/>
        </w:rPr>
        <w:t>Better processes and systems for obtaining consent.</w:t>
      </w:r>
    </w:p>
    <w:p w14:paraId="3CECACEA" w14:textId="24D4273D" w:rsidR="007044A6" w:rsidRPr="007044A6" w:rsidRDefault="007044A6" w:rsidP="007044A6">
      <w:pPr>
        <w:numPr>
          <w:ilvl w:val="0"/>
          <w:numId w:val="15"/>
        </w:numPr>
        <w:spacing w:before="100" w:beforeAutospacing="1" w:after="100" w:afterAutospacing="1"/>
        <w:rPr>
          <w:rFonts w:eastAsia="Times New Roman" w:cs="Arial"/>
          <w:color w:val="202020"/>
          <w:szCs w:val="24"/>
        </w:rPr>
      </w:pPr>
      <w:r>
        <w:rPr>
          <w:rFonts w:eastAsia="Times New Roman" w:cs="Arial"/>
          <w:color w:val="202020"/>
          <w:szCs w:val="24"/>
        </w:rPr>
        <w:t>A m</w:t>
      </w:r>
      <w:r w:rsidRPr="007044A6">
        <w:rPr>
          <w:rFonts w:eastAsia="Times New Roman" w:cs="Arial"/>
          <w:color w:val="202020"/>
          <w:szCs w:val="24"/>
        </w:rPr>
        <w:t>ore holistic approach to treatment</w:t>
      </w:r>
      <w:r>
        <w:rPr>
          <w:rFonts w:eastAsia="Times New Roman" w:cs="Arial"/>
          <w:color w:val="202020"/>
          <w:szCs w:val="24"/>
        </w:rPr>
        <w:t xml:space="preserve"> so that treatment</w:t>
      </w:r>
      <w:r w:rsidRPr="007044A6">
        <w:rPr>
          <w:rFonts w:eastAsia="Times New Roman" w:cs="Arial"/>
          <w:color w:val="202020"/>
          <w:szCs w:val="24"/>
        </w:rPr>
        <w:t xml:space="preserve"> is more inclusive of the person and their </w:t>
      </w:r>
      <w:proofErr w:type="spellStart"/>
      <w:r w:rsidRPr="007044A6">
        <w:rPr>
          <w:rFonts w:eastAsia="Times New Roman" w:cs="Arial"/>
          <w:color w:val="202020"/>
          <w:szCs w:val="24"/>
        </w:rPr>
        <w:t>whānau</w:t>
      </w:r>
      <w:proofErr w:type="spellEnd"/>
      <w:r w:rsidRPr="007044A6">
        <w:rPr>
          <w:rFonts w:eastAsia="Times New Roman" w:cs="Arial"/>
          <w:color w:val="202020"/>
          <w:szCs w:val="24"/>
        </w:rPr>
        <w:t>.</w:t>
      </w:r>
    </w:p>
    <w:p w14:paraId="5EB263C6" w14:textId="5BF77B69" w:rsidR="007044A6" w:rsidRPr="007044A6" w:rsidRDefault="007044A6" w:rsidP="007044A6">
      <w:pPr>
        <w:numPr>
          <w:ilvl w:val="0"/>
          <w:numId w:val="15"/>
        </w:numPr>
        <w:spacing w:before="100" w:beforeAutospacing="1" w:after="100" w:afterAutospacing="1"/>
        <w:rPr>
          <w:rFonts w:eastAsia="Times New Roman" w:cs="Arial"/>
          <w:color w:val="202020"/>
          <w:szCs w:val="24"/>
        </w:rPr>
      </w:pPr>
      <w:r w:rsidRPr="007044A6">
        <w:rPr>
          <w:rFonts w:eastAsia="Times New Roman" w:cs="Arial"/>
          <w:color w:val="202020"/>
          <w:szCs w:val="24"/>
        </w:rPr>
        <w:t xml:space="preserve">Supported decision making processes so that people can be involved in decisions about their own treatment and have their support people </w:t>
      </w:r>
      <w:r>
        <w:rPr>
          <w:rFonts w:eastAsia="Times New Roman" w:cs="Arial"/>
          <w:color w:val="202020"/>
          <w:szCs w:val="24"/>
        </w:rPr>
        <w:t>involved</w:t>
      </w:r>
      <w:r w:rsidRPr="007044A6">
        <w:rPr>
          <w:rFonts w:eastAsia="Times New Roman" w:cs="Arial"/>
          <w:color w:val="202020"/>
          <w:szCs w:val="24"/>
        </w:rPr>
        <w:t>.</w:t>
      </w:r>
    </w:p>
    <w:p w14:paraId="7CAA89CE" w14:textId="77777777" w:rsidR="007044A6" w:rsidRPr="007044A6" w:rsidRDefault="007044A6" w:rsidP="007044A6">
      <w:pPr>
        <w:numPr>
          <w:ilvl w:val="0"/>
          <w:numId w:val="15"/>
        </w:numPr>
        <w:spacing w:before="100" w:beforeAutospacing="1" w:after="100" w:afterAutospacing="1"/>
        <w:rPr>
          <w:rFonts w:eastAsia="Times New Roman" w:cs="Arial"/>
          <w:color w:val="202020"/>
          <w:szCs w:val="24"/>
        </w:rPr>
      </w:pPr>
      <w:r w:rsidRPr="007044A6">
        <w:rPr>
          <w:rFonts w:eastAsia="Times New Roman" w:cs="Arial"/>
          <w:color w:val="202020"/>
          <w:szCs w:val="24"/>
        </w:rPr>
        <w:t>Improved complaint processes around treatment and review of compulsory orders.</w:t>
      </w:r>
    </w:p>
    <w:p w14:paraId="35758CBD" w14:textId="2590E801" w:rsidR="007044A6" w:rsidRDefault="007044A6" w:rsidP="007044A6">
      <w:pPr>
        <w:numPr>
          <w:ilvl w:val="0"/>
          <w:numId w:val="15"/>
        </w:numPr>
        <w:spacing w:before="100" w:beforeAutospacing="1" w:after="100" w:afterAutospacing="1"/>
        <w:rPr>
          <w:rFonts w:eastAsia="Times New Roman" w:cs="Arial"/>
          <w:color w:val="202020"/>
          <w:szCs w:val="24"/>
        </w:rPr>
      </w:pPr>
      <w:r w:rsidRPr="007044A6">
        <w:rPr>
          <w:rFonts w:eastAsia="Times New Roman" w:cs="Arial"/>
          <w:color w:val="202020"/>
          <w:szCs w:val="24"/>
        </w:rPr>
        <w:t>More robust discharge processes that ensures the patient’s interests, ability to care for themselves, and support available in the community are central.</w:t>
      </w:r>
    </w:p>
    <w:p w14:paraId="6B3E2E34" w14:textId="366926F5" w:rsidR="00D36C3C" w:rsidRPr="00D36C3C" w:rsidRDefault="08959572" w:rsidP="08959572">
      <w:pPr>
        <w:pStyle w:val="ListParagraph"/>
        <w:numPr>
          <w:ilvl w:val="0"/>
          <w:numId w:val="15"/>
        </w:numPr>
        <w:rPr>
          <w:rFonts w:eastAsia="Times New Roman" w:cs="Arial"/>
          <w:color w:val="202020"/>
          <w:lang w:eastAsia="zh-CN"/>
        </w:rPr>
      </w:pPr>
      <w:r w:rsidRPr="08959572">
        <w:rPr>
          <w:rFonts w:eastAsia="Times New Roman" w:cs="Arial"/>
          <w:color w:val="202020"/>
        </w:rPr>
        <w:t xml:space="preserve">Te </w:t>
      </w:r>
      <w:proofErr w:type="spellStart"/>
      <w:r w:rsidRPr="08959572">
        <w:rPr>
          <w:rFonts w:eastAsia="Times New Roman" w:cs="Arial"/>
          <w:color w:val="202020"/>
        </w:rPr>
        <w:t>Ao</w:t>
      </w:r>
      <w:proofErr w:type="spellEnd"/>
      <w:r w:rsidRPr="08959572">
        <w:rPr>
          <w:rFonts w:eastAsia="Times New Roman" w:cs="Arial"/>
          <w:color w:val="202020"/>
        </w:rPr>
        <w:t xml:space="preserve"> Māori is central to mental health law and is meaningful for </w:t>
      </w:r>
      <w:proofErr w:type="spellStart"/>
      <w:r w:rsidRPr="08959572">
        <w:rPr>
          <w:rFonts w:eastAsia="Times New Roman" w:cs="Arial"/>
          <w:color w:val="202020"/>
        </w:rPr>
        <w:t>tangata</w:t>
      </w:r>
      <w:proofErr w:type="spellEnd"/>
      <w:r w:rsidRPr="08959572">
        <w:rPr>
          <w:rFonts w:eastAsia="Times New Roman" w:cs="Arial"/>
          <w:color w:val="202020"/>
        </w:rPr>
        <w:t xml:space="preserve"> and </w:t>
      </w:r>
      <w:proofErr w:type="spellStart"/>
      <w:r w:rsidRPr="08959572">
        <w:rPr>
          <w:rFonts w:eastAsia="Times New Roman" w:cs="Arial"/>
          <w:color w:val="202020"/>
        </w:rPr>
        <w:t>whānau</w:t>
      </w:r>
      <w:proofErr w:type="spellEnd"/>
      <w:r w:rsidRPr="08959572">
        <w:rPr>
          <w:rFonts w:eastAsia="Times New Roman" w:cs="Arial"/>
          <w:color w:val="202020"/>
        </w:rPr>
        <w:t> within the system. </w:t>
      </w:r>
    </w:p>
    <w:p w14:paraId="4B93C600" w14:textId="48373129" w:rsidR="00F90077" w:rsidRDefault="00F90077" w:rsidP="003E3C38">
      <w:pPr>
        <w:rPr>
          <w:rFonts w:cs="Arial"/>
        </w:rPr>
      </w:pPr>
    </w:p>
    <w:p w14:paraId="0865D913" w14:textId="77777777" w:rsidR="00FB07FE" w:rsidRPr="00F90077" w:rsidRDefault="00FB07FE" w:rsidP="003E3C38">
      <w:pPr>
        <w:rPr>
          <w:rFonts w:cs="Arial"/>
        </w:rPr>
      </w:pPr>
    </w:p>
    <w:sectPr w:rsidR="00FB07FE" w:rsidRPr="00F90077"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2BDB" w14:textId="77777777" w:rsidR="009F6C98" w:rsidRDefault="009F6C98" w:rsidP="00634AEC">
      <w:pPr>
        <w:spacing w:after="0" w:line="240" w:lineRule="auto"/>
      </w:pPr>
      <w:r>
        <w:separator/>
      </w:r>
    </w:p>
  </w:endnote>
  <w:endnote w:type="continuationSeparator" w:id="0">
    <w:p w14:paraId="03FAD12A" w14:textId="77777777" w:rsidR="009F6C98" w:rsidRDefault="009F6C98" w:rsidP="00634AEC">
      <w:pPr>
        <w:spacing w:after="0" w:line="240" w:lineRule="auto"/>
      </w:pPr>
      <w:r>
        <w:continuationSeparator/>
      </w:r>
    </w:p>
  </w:endnote>
  <w:endnote w:id="1">
    <w:p w14:paraId="47239DE5" w14:textId="6CC0AE8F" w:rsidR="0067192B" w:rsidRDefault="0067192B" w:rsidP="0067192B">
      <w:pPr>
        <w:pStyle w:val="EndnoteText"/>
      </w:pPr>
      <w:r>
        <w:rPr>
          <w:rStyle w:val="EndnoteReference"/>
        </w:rPr>
        <w:endnoteRef/>
      </w:r>
      <w:r>
        <w:t xml:space="preserve"> </w:t>
      </w:r>
      <w:hyperlink r:id="rId1" w:history="1">
        <w:r w:rsidR="007044A6" w:rsidRPr="00E2065D">
          <w:rPr>
            <w:rStyle w:val="Hyperlink"/>
          </w:rPr>
          <w:t>https://mentalhealth.inquiry.govt.nz/inquiry-report/he-ara-oranga/</w:t>
        </w:r>
      </w:hyperlink>
      <w:r w:rsidR="007044A6">
        <w:t xml:space="preserve"> </w:t>
      </w:r>
    </w:p>
  </w:endnote>
  <w:endnote w:id="2">
    <w:p w14:paraId="3EBC9687" w14:textId="01C3DF9D" w:rsidR="002F1BA6" w:rsidRDefault="0067192B" w:rsidP="002F1BA6">
      <w:pPr>
        <w:spacing w:line="240" w:lineRule="auto"/>
        <w:rPr>
          <w:rFonts w:ascii="Times New Roman" w:hAnsi="Times New Roman"/>
        </w:rPr>
      </w:pPr>
      <w:r>
        <w:rPr>
          <w:rStyle w:val="EndnoteReference"/>
        </w:rPr>
        <w:endnoteRef/>
      </w:r>
      <w:hyperlink r:id="rId2" w:history="1">
        <w:r w:rsidR="002F1BA6" w:rsidRPr="00E2065D">
          <w:rPr>
            <w:rStyle w:val="Hyperlink"/>
            <w:rFonts w:cs="Arial"/>
            <w:sz w:val="20"/>
            <w:szCs w:val="20"/>
          </w:rPr>
          <w:t>https://tbinternet.ohchr.org/_layouts/15/treatybodyexternal/Download.aspx?symbolno=CRPD/C/NZL/CO/1&amp;Lang=En</w:t>
        </w:r>
      </w:hyperlink>
    </w:p>
    <w:p w14:paraId="57DB48B9" w14:textId="7B2C5923" w:rsidR="007044A6" w:rsidRDefault="00A5328B" w:rsidP="00A5328B">
      <w:pPr>
        <w:spacing w:after="0" w:line="240" w:lineRule="auto"/>
        <w:rPr>
          <w:rFonts w:ascii="Times New Roman" w:hAnsi="Times New Roman"/>
        </w:rPr>
      </w:pPr>
      <w:r>
        <w:rPr>
          <w:rFonts w:ascii="Times New Roman" w:hAnsi="Times New Roman"/>
        </w:rPr>
        <w:t xml:space="preserve"> </w:t>
      </w:r>
    </w:p>
    <w:p w14:paraId="797E7033" w14:textId="705933DC" w:rsidR="0067192B" w:rsidRDefault="0067192B" w:rsidP="0067192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906E5" w14:textId="77777777" w:rsidR="009F6C98" w:rsidRDefault="009F6C98" w:rsidP="00634AEC">
      <w:pPr>
        <w:spacing w:after="0" w:line="240" w:lineRule="auto"/>
      </w:pPr>
      <w:r>
        <w:separator/>
      </w:r>
    </w:p>
  </w:footnote>
  <w:footnote w:type="continuationSeparator" w:id="0">
    <w:p w14:paraId="72CE61DA" w14:textId="77777777" w:rsidR="009F6C98" w:rsidRDefault="009F6C98" w:rsidP="00634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36pt;height:25.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E245F9"/>
    <w:multiLevelType w:val="multilevel"/>
    <w:tmpl w:val="4A7E1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14"/>
  </w:num>
  <w:num w:numId="6">
    <w:abstractNumId w:val="4"/>
  </w:num>
  <w:num w:numId="7">
    <w:abstractNumId w:val="9"/>
  </w:num>
  <w:num w:numId="8">
    <w:abstractNumId w:val="10"/>
  </w:num>
  <w:num w:numId="9">
    <w:abstractNumId w:val="8"/>
  </w:num>
  <w:num w:numId="10">
    <w:abstractNumId w:val="13"/>
  </w:num>
  <w:num w:numId="11">
    <w:abstractNumId w:val="12"/>
  </w:num>
  <w:num w:numId="12">
    <w:abstractNumId w:val="0"/>
  </w:num>
  <w:num w:numId="13">
    <w:abstractNumId w:val="1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533B3"/>
    <w:rsid w:val="000A33E1"/>
    <w:rsid w:val="000B1D28"/>
    <w:rsid w:val="000C2A3A"/>
    <w:rsid w:val="000C451E"/>
    <w:rsid w:val="000E6EFD"/>
    <w:rsid w:val="000F2A10"/>
    <w:rsid w:val="00107484"/>
    <w:rsid w:val="00133092"/>
    <w:rsid w:val="001A3927"/>
    <w:rsid w:val="001A63C9"/>
    <w:rsid w:val="001B0899"/>
    <w:rsid w:val="001B734D"/>
    <w:rsid w:val="001C0434"/>
    <w:rsid w:val="001D29F1"/>
    <w:rsid w:val="001E4BF6"/>
    <w:rsid w:val="00213391"/>
    <w:rsid w:val="0022747A"/>
    <w:rsid w:val="00234512"/>
    <w:rsid w:val="00252A79"/>
    <w:rsid w:val="00255576"/>
    <w:rsid w:val="002555EB"/>
    <w:rsid w:val="002565C8"/>
    <w:rsid w:val="00276697"/>
    <w:rsid w:val="002C0869"/>
    <w:rsid w:val="002C6751"/>
    <w:rsid w:val="002E0071"/>
    <w:rsid w:val="002F1BA6"/>
    <w:rsid w:val="00325B34"/>
    <w:rsid w:val="00376117"/>
    <w:rsid w:val="0039004F"/>
    <w:rsid w:val="003B0C58"/>
    <w:rsid w:val="003B154D"/>
    <w:rsid w:val="003B3DF5"/>
    <w:rsid w:val="003D5241"/>
    <w:rsid w:val="003E3C38"/>
    <w:rsid w:val="00412627"/>
    <w:rsid w:val="00422A0D"/>
    <w:rsid w:val="00446C1F"/>
    <w:rsid w:val="00446CA3"/>
    <w:rsid w:val="004600A7"/>
    <w:rsid w:val="004906B0"/>
    <w:rsid w:val="004A0B5F"/>
    <w:rsid w:val="004C1544"/>
    <w:rsid w:val="004D53A5"/>
    <w:rsid w:val="004E3032"/>
    <w:rsid w:val="004F4F77"/>
    <w:rsid w:val="005174CE"/>
    <w:rsid w:val="005241A1"/>
    <w:rsid w:val="005244AE"/>
    <w:rsid w:val="005255B7"/>
    <w:rsid w:val="00534749"/>
    <w:rsid w:val="00547874"/>
    <w:rsid w:val="00562E74"/>
    <w:rsid w:val="00587C7D"/>
    <w:rsid w:val="005C2088"/>
    <w:rsid w:val="005D3FA6"/>
    <w:rsid w:val="006103AC"/>
    <w:rsid w:val="00612023"/>
    <w:rsid w:val="00617B71"/>
    <w:rsid w:val="00626DE9"/>
    <w:rsid w:val="00634AEC"/>
    <w:rsid w:val="0065604C"/>
    <w:rsid w:val="00670B18"/>
    <w:rsid w:val="0067192B"/>
    <w:rsid w:val="006B5018"/>
    <w:rsid w:val="006D416F"/>
    <w:rsid w:val="006E413E"/>
    <w:rsid w:val="00700885"/>
    <w:rsid w:val="007044A6"/>
    <w:rsid w:val="007247B9"/>
    <w:rsid w:val="00771A3C"/>
    <w:rsid w:val="00775532"/>
    <w:rsid w:val="0078641A"/>
    <w:rsid w:val="007928EF"/>
    <w:rsid w:val="007A153C"/>
    <w:rsid w:val="007A5D60"/>
    <w:rsid w:val="007B4A88"/>
    <w:rsid w:val="008169E9"/>
    <w:rsid w:val="00832EF2"/>
    <w:rsid w:val="008443CB"/>
    <w:rsid w:val="00851ABD"/>
    <w:rsid w:val="008C3BEF"/>
    <w:rsid w:val="008E27E2"/>
    <w:rsid w:val="008E541D"/>
    <w:rsid w:val="00902171"/>
    <w:rsid w:val="009140EA"/>
    <w:rsid w:val="00921D00"/>
    <w:rsid w:val="009514A6"/>
    <w:rsid w:val="00953608"/>
    <w:rsid w:val="00980ACE"/>
    <w:rsid w:val="0098203B"/>
    <w:rsid w:val="009923BC"/>
    <w:rsid w:val="009B6EE7"/>
    <w:rsid w:val="009C25EE"/>
    <w:rsid w:val="009E1548"/>
    <w:rsid w:val="009F43CD"/>
    <w:rsid w:val="009F6C98"/>
    <w:rsid w:val="00A12510"/>
    <w:rsid w:val="00A2709C"/>
    <w:rsid w:val="00A272AB"/>
    <w:rsid w:val="00A378EA"/>
    <w:rsid w:val="00A5328B"/>
    <w:rsid w:val="00A54D5A"/>
    <w:rsid w:val="00A56F67"/>
    <w:rsid w:val="00A67D69"/>
    <w:rsid w:val="00A76CE2"/>
    <w:rsid w:val="00A77DD5"/>
    <w:rsid w:val="00AA7CBB"/>
    <w:rsid w:val="00AC4684"/>
    <w:rsid w:val="00B00392"/>
    <w:rsid w:val="00B42A8C"/>
    <w:rsid w:val="00B55F8A"/>
    <w:rsid w:val="00B72DF4"/>
    <w:rsid w:val="00B7383C"/>
    <w:rsid w:val="00B740ED"/>
    <w:rsid w:val="00B819EB"/>
    <w:rsid w:val="00B9746B"/>
    <w:rsid w:val="00BC0569"/>
    <w:rsid w:val="00BF7175"/>
    <w:rsid w:val="00C23CCD"/>
    <w:rsid w:val="00C3131E"/>
    <w:rsid w:val="00C473F0"/>
    <w:rsid w:val="00C64FFB"/>
    <w:rsid w:val="00C92B04"/>
    <w:rsid w:val="00CA01CD"/>
    <w:rsid w:val="00CD1230"/>
    <w:rsid w:val="00CD4578"/>
    <w:rsid w:val="00CD4C02"/>
    <w:rsid w:val="00D0678F"/>
    <w:rsid w:val="00D11BCC"/>
    <w:rsid w:val="00D2076D"/>
    <w:rsid w:val="00D230E4"/>
    <w:rsid w:val="00D26396"/>
    <w:rsid w:val="00D341D1"/>
    <w:rsid w:val="00D36C3C"/>
    <w:rsid w:val="00D451C5"/>
    <w:rsid w:val="00D6214D"/>
    <w:rsid w:val="00D756E8"/>
    <w:rsid w:val="00D82AED"/>
    <w:rsid w:val="00DA299B"/>
    <w:rsid w:val="00DA6EAE"/>
    <w:rsid w:val="00DB53FC"/>
    <w:rsid w:val="00DC37CD"/>
    <w:rsid w:val="00E0554B"/>
    <w:rsid w:val="00E13065"/>
    <w:rsid w:val="00E47BC9"/>
    <w:rsid w:val="00E53192"/>
    <w:rsid w:val="00E5783A"/>
    <w:rsid w:val="00E60B30"/>
    <w:rsid w:val="00E65567"/>
    <w:rsid w:val="00E70E28"/>
    <w:rsid w:val="00E74B15"/>
    <w:rsid w:val="00E9298B"/>
    <w:rsid w:val="00EA7AD5"/>
    <w:rsid w:val="00EB17E7"/>
    <w:rsid w:val="00EC167C"/>
    <w:rsid w:val="00EC6AD9"/>
    <w:rsid w:val="00EE2B63"/>
    <w:rsid w:val="00EF2AA3"/>
    <w:rsid w:val="00EF44E1"/>
    <w:rsid w:val="00F02FC3"/>
    <w:rsid w:val="00F03220"/>
    <w:rsid w:val="00F228DC"/>
    <w:rsid w:val="00F32775"/>
    <w:rsid w:val="00F828B0"/>
    <w:rsid w:val="00F90077"/>
    <w:rsid w:val="00F90886"/>
    <w:rsid w:val="00F93CC2"/>
    <w:rsid w:val="00FA1FCA"/>
    <w:rsid w:val="00FB07FE"/>
    <w:rsid w:val="00FB1CA8"/>
    <w:rsid w:val="00FF3014"/>
    <w:rsid w:val="0895957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styleId="EndnoteText">
    <w:name w:val="endnote text"/>
    <w:basedOn w:val="Normal"/>
    <w:link w:val="EndnoteTextChar"/>
    <w:uiPriority w:val="99"/>
    <w:semiHidden/>
    <w:unhideWhenUsed/>
    <w:rsid w:val="006719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92B"/>
    <w:rPr>
      <w:rFonts w:ascii="Arial" w:hAnsi="Arial"/>
      <w:sz w:val="20"/>
      <w:szCs w:val="20"/>
    </w:rPr>
  </w:style>
  <w:style w:type="character" w:styleId="EndnoteReference">
    <w:name w:val="endnote reference"/>
    <w:basedOn w:val="DefaultParagraphFont"/>
    <w:uiPriority w:val="99"/>
    <w:semiHidden/>
    <w:unhideWhenUsed/>
    <w:rsid w:val="0067192B"/>
    <w:rPr>
      <w:vertAlign w:val="superscript"/>
    </w:rPr>
  </w:style>
  <w:style w:type="character" w:styleId="FollowedHyperlink">
    <w:name w:val="FollowedHyperlink"/>
    <w:basedOn w:val="DefaultParagraphFont"/>
    <w:uiPriority w:val="99"/>
    <w:semiHidden/>
    <w:unhideWhenUsed/>
    <w:rsid w:val="007044A6"/>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322926442">
      <w:bodyDiv w:val="1"/>
      <w:marLeft w:val="0"/>
      <w:marRight w:val="0"/>
      <w:marTop w:val="0"/>
      <w:marBottom w:val="0"/>
      <w:divBdr>
        <w:top w:val="none" w:sz="0" w:space="0" w:color="auto"/>
        <w:left w:val="none" w:sz="0" w:space="0" w:color="auto"/>
        <w:bottom w:val="none" w:sz="0" w:space="0" w:color="auto"/>
        <w:right w:val="none" w:sz="0" w:space="0" w:color="auto"/>
      </w:divBdr>
    </w:div>
    <w:div w:id="1564100788">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 w:id="1954435017">
      <w:bodyDiv w:val="1"/>
      <w:marLeft w:val="0"/>
      <w:marRight w:val="0"/>
      <w:marTop w:val="0"/>
      <w:marBottom w:val="0"/>
      <w:divBdr>
        <w:top w:val="none" w:sz="0" w:space="0" w:color="auto"/>
        <w:left w:val="none" w:sz="0" w:space="0" w:color="auto"/>
        <w:bottom w:val="none" w:sz="0" w:space="0" w:color="auto"/>
        <w:right w:val="none" w:sz="0" w:space="0" w:color="auto"/>
      </w:divBdr>
    </w:div>
    <w:div w:id="200370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tbinternet.ohchr.org/_layouts/15/treatybodyexternal/Download.aspx?symbolno=CRPD/C/NZL/CO/1&amp;Lang=En" TargetMode="External"/><Relationship Id="rId1" Type="http://schemas.openxmlformats.org/officeDocument/2006/relationships/hyperlink" Target="https://mentalhealth.inquiry.govt.nz/inquiry-report/he-ara-orang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506DD-4F12-0E40-AB4A-83830EF7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2021-06-04T21:26:00Z</dcterms:created>
  <dcterms:modified xsi:type="dcterms:W3CDTF">2021-06-04T21:26:00Z</dcterms:modified>
</cp:coreProperties>
</file>