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A314A" w:rsidRPr="00074C40" w14:paraId="2410B5F2" w14:textId="77777777" w:rsidTr="00887D19">
        <w:tc>
          <w:tcPr>
            <w:tcW w:w="4508" w:type="dxa"/>
          </w:tcPr>
          <w:p w14:paraId="30299938" w14:textId="5F4C5413" w:rsidR="00CA314A" w:rsidRDefault="005255A5" w:rsidP="008C69B4">
            <w:pPr>
              <w:spacing w:line="360" w:lineRule="auto"/>
              <w:jc w:val="center"/>
            </w:pPr>
            <w:r>
              <w:rPr>
                <w:rFonts w:ascii="Arial" w:eastAsia="Arial" w:hAnsi="Arial" w:cs="Arial"/>
                <w:b/>
                <w:noProof/>
                <w:sz w:val="24"/>
                <w:szCs w:val="24"/>
              </w:rPr>
              <w:drawing>
                <wp:inline distT="0" distB="0" distL="0" distR="0" wp14:anchorId="0E42540B" wp14:editId="323D329F">
                  <wp:extent cx="2505075" cy="1676896"/>
                  <wp:effectExtent l="0" t="0" r="0" b="0"/>
                  <wp:docPr id="1" name="Picture 1" descr="Disabled Persons Assembly New Zealand's logo and motto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666" cy="1679300"/>
                          </a:xfrm>
                          <a:prstGeom prst="rect">
                            <a:avLst/>
                          </a:prstGeom>
                          <a:noFill/>
                          <a:ln>
                            <a:noFill/>
                          </a:ln>
                        </pic:spPr>
                      </pic:pic>
                    </a:graphicData>
                  </a:graphic>
                </wp:inline>
              </w:drawing>
            </w:r>
          </w:p>
          <w:p w14:paraId="46E7B7D6" w14:textId="77777777" w:rsidR="00CA314A" w:rsidRPr="00736B79" w:rsidRDefault="00CA314A" w:rsidP="008C69B4">
            <w:pPr>
              <w:spacing w:line="360" w:lineRule="auto"/>
              <w:jc w:val="center"/>
              <w:rPr>
                <w:sz w:val="2"/>
                <w:szCs w:val="2"/>
              </w:rPr>
            </w:pPr>
          </w:p>
          <w:p w14:paraId="428469F4" w14:textId="754631C7" w:rsidR="00CA314A" w:rsidRPr="00D112B1" w:rsidRDefault="00CA314A" w:rsidP="005255A5">
            <w:pPr>
              <w:spacing w:line="360" w:lineRule="auto"/>
              <w:rPr>
                <w:rFonts w:ascii="Arial Rounded MT Bold" w:hAnsi="Arial Rounded MT Bold"/>
                <w:color w:val="4A442A" w:themeColor="background2" w:themeShade="40"/>
                <w:sz w:val="28"/>
                <w:szCs w:val="28"/>
              </w:rPr>
            </w:pPr>
          </w:p>
        </w:tc>
        <w:tc>
          <w:tcPr>
            <w:tcW w:w="4508" w:type="dxa"/>
          </w:tcPr>
          <w:p w14:paraId="6CE18DFB" w14:textId="77777777" w:rsidR="00CA314A" w:rsidRPr="00074C40" w:rsidRDefault="00CA314A" w:rsidP="008C69B4">
            <w:pPr>
              <w:spacing w:line="360" w:lineRule="auto"/>
              <w:rPr>
                <w:color w:val="4A442A" w:themeColor="background2" w:themeShade="40"/>
                <w:highlight w:val="yellow"/>
              </w:rPr>
            </w:pPr>
            <w:r>
              <w:rPr>
                <w:noProof/>
              </w:rPr>
              <w:drawing>
                <wp:inline distT="0" distB="0" distL="0" distR="0" wp14:anchorId="10FA86C8" wp14:editId="2A29BD99">
                  <wp:extent cx="2446317" cy="1542481"/>
                  <wp:effectExtent l="0" t="0" r="0" b="635"/>
                  <wp:docPr id="8" name="Picture 8" descr="CCS Disability Action's logo and vision &quot;including all people&quot;. Also includes CCS Disability Action's foundation statement in Te Reo &quot;Te Hunga Hauā Mauri Mō Ngā Tāngata Katoa&quo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7F65.BE8920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79554" cy="1563438"/>
                          </a:xfrm>
                          <a:prstGeom prst="rect">
                            <a:avLst/>
                          </a:prstGeom>
                          <a:noFill/>
                          <a:ln>
                            <a:noFill/>
                          </a:ln>
                        </pic:spPr>
                      </pic:pic>
                    </a:graphicData>
                  </a:graphic>
                </wp:inline>
              </w:drawing>
            </w:r>
          </w:p>
        </w:tc>
      </w:tr>
    </w:tbl>
    <w:p w14:paraId="28379547" w14:textId="245D5748" w:rsidR="00996463" w:rsidRDefault="00D71B59" w:rsidP="00904BE6">
      <w:pPr>
        <w:pStyle w:val="Heading1"/>
        <w:jc w:val="center"/>
        <w:rPr>
          <w:sz w:val="36"/>
          <w:szCs w:val="36"/>
        </w:rPr>
      </w:pPr>
      <w:r>
        <w:rPr>
          <w:sz w:val="36"/>
          <w:szCs w:val="36"/>
        </w:rPr>
        <w:t>Post-</w:t>
      </w:r>
      <w:r w:rsidR="00181F45" w:rsidRPr="00904BE6">
        <w:rPr>
          <w:sz w:val="36"/>
          <w:szCs w:val="36"/>
        </w:rPr>
        <w:t>Election 2020 Briefing</w:t>
      </w:r>
    </w:p>
    <w:p w14:paraId="2BEA1928" w14:textId="443D07ED" w:rsidR="00D71B59" w:rsidRPr="00D71B59" w:rsidRDefault="00D71B59" w:rsidP="00D71B59">
      <w:pPr>
        <w:jc w:val="center"/>
        <w:rPr>
          <w:rFonts w:ascii="Arial" w:hAnsi="Arial" w:cs="Arial"/>
          <w:b/>
          <w:bCs/>
          <w:sz w:val="36"/>
          <w:szCs w:val="36"/>
        </w:rPr>
      </w:pPr>
      <w:r w:rsidRPr="00D71B59">
        <w:rPr>
          <w:rFonts w:ascii="Arial" w:hAnsi="Arial" w:cs="Arial"/>
          <w:b/>
          <w:bCs/>
          <w:sz w:val="36"/>
          <w:szCs w:val="36"/>
        </w:rPr>
        <w:t>For Members of Parliament</w:t>
      </w:r>
    </w:p>
    <w:p w14:paraId="1106A9FE" w14:textId="64C2E879" w:rsidR="00D71B59" w:rsidRPr="00D71B59" w:rsidRDefault="00D71B59" w:rsidP="00D71B59"/>
    <w:p w14:paraId="0FE78432" w14:textId="77777777" w:rsidR="008C69B4" w:rsidRPr="00EA6646" w:rsidRDefault="008C69B4" w:rsidP="008C69B4">
      <w:pPr>
        <w:spacing w:line="360" w:lineRule="auto"/>
        <w:jc w:val="center"/>
        <w:rPr>
          <w:rFonts w:ascii="Arial" w:eastAsia="Arial" w:hAnsi="Arial" w:cs="Arial"/>
          <w:b/>
          <w:sz w:val="36"/>
          <w:szCs w:val="36"/>
        </w:rPr>
      </w:pPr>
    </w:p>
    <w:p w14:paraId="702534FE" w14:textId="27C739D1" w:rsidR="00CA314A" w:rsidRDefault="00CA314A" w:rsidP="008C69B4">
      <w:pPr>
        <w:spacing w:line="360" w:lineRule="auto"/>
        <w:rPr>
          <w:rFonts w:ascii="Arial" w:eastAsia="Arial" w:hAnsi="Arial" w:cs="Arial"/>
          <w:b/>
          <w:sz w:val="24"/>
          <w:szCs w:val="24"/>
        </w:rPr>
      </w:pPr>
      <w:r>
        <w:rPr>
          <w:rFonts w:ascii="Arial" w:eastAsia="Arial" w:hAnsi="Arial" w:cs="Arial"/>
          <w:b/>
          <w:sz w:val="24"/>
          <w:szCs w:val="24"/>
        </w:rPr>
        <w:t>Mojo Mathers Disabled Persons Assembly</w:t>
      </w:r>
      <w:r w:rsidR="008C69B4">
        <w:rPr>
          <w:rFonts w:ascii="Arial" w:eastAsia="Arial" w:hAnsi="Arial" w:cs="Arial"/>
          <w:b/>
          <w:sz w:val="24"/>
          <w:szCs w:val="24"/>
        </w:rPr>
        <w:t xml:space="preserve"> New Zealand</w:t>
      </w:r>
    </w:p>
    <w:p w14:paraId="53EADE0D" w14:textId="77777777" w:rsidR="00D975BD" w:rsidRDefault="00D975BD" w:rsidP="008C69B4">
      <w:pPr>
        <w:spacing w:line="360" w:lineRule="auto"/>
        <w:rPr>
          <w:rFonts w:ascii="Arial" w:eastAsia="Arial" w:hAnsi="Arial" w:cs="Arial"/>
          <w:b/>
          <w:sz w:val="24"/>
          <w:szCs w:val="24"/>
        </w:rPr>
      </w:pPr>
    </w:p>
    <w:p w14:paraId="788BE54E" w14:textId="73B998CB" w:rsidR="00053D56" w:rsidRDefault="00EE001F" w:rsidP="008C69B4">
      <w:pPr>
        <w:spacing w:line="360" w:lineRule="auto"/>
        <w:rPr>
          <w:rFonts w:ascii="Arial" w:eastAsia="Arial" w:hAnsi="Arial" w:cs="Arial"/>
          <w:b/>
          <w:sz w:val="24"/>
          <w:szCs w:val="24"/>
        </w:rPr>
      </w:pPr>
      <w:r>
        <w:rPr>
          <w:rFonts w:ascii="Arial" w:eastAsia="Arial" w:hAnsi="Arial" w:cs="Arial"/>
          <w:b/>
          <w:sz w:val="24"/>
          <w:szCs w:val="24"/>
        </w:rPr>
        <w:t>Sam Murray CCS Disability Action</w:t>
      </w:r>
    </w:p>
    <w:p w14:paraId="36363A5C" w14:textId="77777777" w:rsidR="0023551A" w:rsidRDefault="0023551A" w:rsidP="008C69B4">
      <w:pPr>
        <w:spacing w:line="360" w:lineRule="auto"/>
        <w:rPr>
          <w:rFonts w:ascii="Arial" w:eastAsia="Arial" w:hAnsi="Arial" w:cs="Arial"/>
          <w:b/>
          <w:sz w:val="24"/>
          <w:szCs w:val="24"/>
        </w:rPr>
      </w:pPr>
    </w:p>
    <w:p w14:paraId="6BFEA57B" w14:textId="6C599E37" w:rsidR="008B7AB5" w:rsidRDefault="00A92728" w:rsidP="008C69B4">
      <w:pPr>
        <w:spacing w:line="360" w:lineRule="auto"/>
        <w:rPr>
          <w:rFonts w:ascii="Arial" w:eastAsia="Arial" w:hAnsi="Arial" w:cs="Arial"/>
          <w:sz w:val="24"/>
          <w:szCs w:val="24"/>
        </w:rPr>
      </w:pPr>
      <w:proofErr w:type="spellStart"/>
      <w:r>
        <w:rPr>
          <w:rFonts w:ascii="Arial" w:hAnsi="Arial" w:cs="Arial"/>
          <w:sz w:val="24"/>
          <w:szCs w:val="24"/>
        </w:rPr>
        <w:t>Tēnā</w:t>
      </w:r>
      <w:proofErr w:type="spellEnd"/>
      <w:r>
        <w:rPr>
          <w:rFonts w:ascii="Arial" w:hAnsi="Arial" w:cs="Arial"/>
          <w:sz w:val="24"/>
          <w:szCs w:val="24"/>
        </w:rPr>
        <w:t xml:space="preserve"> </w:t>
      </w:r>
      <w:proofErr w:type="spellStart"/>
      <w:r>
        <w:rPr>
          <w:rFonts w:ascii="Arial" w:hAnsi="Arial" w:cs="Arial"/>
          <w:sz w:val="24"/>
          <w:szCs w:val="24"/>
        </w:rPr>
        <w:t>koe</w:t>
      </w:r>
      <w:proofErr w:type="spellEnd"/>
      <w:r>
        <w:rPr>
          <w:rFonts w:ascii="Arial" w:hAnsi="Arial" w:cs="Arial"/>
          <w:sz w:val="24"/>
          <w:szCs w:val="24"/>
        </w:rPr>
        <w:t xml:space="preserve"> </w:t>
      </w:r>
      <w:r w:rsidR="008411C9">
        <w:rPr>
          <w:rFonts w:ascii="Arial" w:hAnsi="Arial" w:cs="Arial"/>
          <w:sz w:val="24"/>
          <w:szCs w:val="24"/>
        </w:rPr>
        <w:t>Rt. Hon. Jacinda Ardern</w:t>
      </w:r>
      <w:r w:rsidR="006F3BD1">
        <w:rPr>
          <w:rFonts w:ascii="Arial" w:eastAsia="Arial" w:hAnsi="Arial" w:cs="Arial"/>
          <w:sz w:val="24"/>
          <w:szCs w:val="24"/>
        </w:rPr>
        <w:t>,</w:t>
      </w:r>
      <w:r w:rsidR="00386CA6">
        <w:rPr>
          <w:rFonts w:ascii="Arial" w:eastAsia="Arial" w:hAnsi="Arial" w:cs="Arial"/>
          <w:sz w:val="24"/>
          <w:szCs w:val="24"/>
        </w:rPr>
        <w:t xml:space="preserve"> w</w:t>
      </w:r>
      <w:r w:rsidR="008B7AB5">
        <w:rPr>
          <w:rFonts w:ascii="Arial" w:eastAsia="Arial" w:hAnsi="Arial" w:cs="Arial"/>
          <w:sz w:val="24"/>
          <w:szCs w:val="24"/>
        </w:rPr>
        <w:t xml:space="preserve">elcome to the </w:t>
      </w:r>
      <w:r w:rsidR="008B7AB5" w:rsidRPr="008B7AB5">
        <w:rPr>
          <w:rFonts w:ascii="Arial" w:eastAsia="Arial" w:hAnsi="Arial" w:cs="Arial"/>
          <w:sz w:val="24"/>
          <w:szCs w:val="24"/>
        </w:rPr>
        <w:t>53rd New Zealand Parliament</w:t>
      </w:r>
      <w:r w:rsidR="008B7AB5">
        <w:rPr>
          <w:rFonts w:ascii="Arial" w:eastAsia="Arial" w:hAnsi="Arial" w:cs="Arial"/>
          <w:sz w:val="24"/>
          <w:szCs w:val="24"/>
        </w:rPr>
        <w:t xml:space="preserve">. </w:t>
      </w:r>
      <w:r w:rsidR="00C84833">
        <w:rPr>
          <w:rFonts w:ascii="Arial" w:eastAsia="Arial" w:hAnsi="Arial" w:cs="Arial"/>
          <w:sz w:val="24"/>
          <w:szCs w:val="24"/>
        </w:rPr>
        <w:t xml:space="preserve">We are two of New Zealand’s main pan-disability organisations. You can find out more about us in the background section at the end of this document. </w:t>
      </w:r>
    </w:p>
    <w:p w14:paraId="678F0A5D" w14:textId="758D7630" w:rsidR="00C84833" w:rsidRDefault="00C84833" w:rsidP="008C69B4">
      <w:pPr>
        <w:spacing w:line="360" w:lineRule="auto"/>
        <w:rPr>
          <w:rFonts w:ascii="Arial" w:eastAsia="Arial" w:hAnsi="Arial" w:cs="Arial"/>
          <w:sz w:val="24"/>
          <w:szCs w:val="24"/>
        </w:rPr>
      </w:pPr>
    </w:p>
    <w:p w14:paraId="510FEA03" w14:textId="458E063C" w:rsidR="008C69B4" w:rsidRDefault="00C84833" w:rsidP="00C84833">
      <w:pPr>
        <w:spacing w:line="360" w:lineRule="auto"/>
        <w:rPr>
          <w:rFonts w:ascii="Arial" w:eastAsia="Arial" w:hAnsi="Arial" w:cs="Arial"/>
          <w:sz w:val="24"/>
          <w:szCs w:val="24"/>
        </w:rPr>
      </w:pPr>
      <w:r>
        <w:rPr>
          <w:rFonts w:ascii="Arial" w:eastAsia="Arial" w:hAnsi="Arial" w:cs="Arial"/>
          <w:sz w:val="24"/>
          <w:szCs w:val="24"/>
        </w:rPr>
        <w:t xml:space="preserve">We wanted to take the opportunity to highlight data on two areas of significant inequity that disabled people and their whānau experience; income inadequacy </w:t>
      </w:r>
      <w:r w:rsidR="00386CA6">
        <w:rPr>
          <w:rFonts w:ascii="Arial" w:eastAsia="Arial" w:hAnsi="Arial" w:cs="Arial"/>
          <w:sz w:val="24"/>
          <w:szCs w:val="24"/>
        </w:rPr>
        <w:t xml:space="preserve">and low trust in the police and the health system. </w:t>
      </w:r>
    </w:p>
    <w:p w14:paraId="7491FF7D" w14:textId="6C55FF28" w:rsidR="00462A23" w:rsidRDefault="00462A23" w:rsidP="00C84833">
      <w:pPr>
        <w:spacing w:line="360" w:lineRule="auto"/>
        <w:rPr>
          <w:rFonts w:ascii="Arial" w:eastAsia="Arial" w:hAnsi="Arial" w:cs="Arial"/>
          <w:sz w:val="24"/>
          <w:szCs w:val="24"/>
        </w:rPr>
      </w:pPr>
    </w:p>
    <w:p w14:paraId="3FAA1AB4" w14:textId="197182EE" w:rsidR="00462A23" w:rsidRDefault="00462A23" w:rsidP="004F5DC1">
      <w:pPr>
        <w:spacing w:line="360" w:lineRule="auto"/>
        <w:rPr>
          <w:rFonts w:ascii="Arial" w:eastAsia="Arial" w:hAnsi="Arial" w:cs="Arial"/>
          <w:sz w:val="24"/>
          <w:szCs w:val="24"/>
        </w:rPr>
      </w:pPr>
      <w:r>
        <w:rPr>
          <w:rFonts w:ascii="Arial" w:eastAsia="Arial" w:hAnsi="Arial" w:cs="Arial"/>
          <w:sz w:val="24"/>
          <w:szCs w:val="24"/>
        </w:rPr>
        <w:t xml:space="preserve">We need action from you and your </w:t>
      </w:r>
      <w:r w:rsidR="00D84B61">
        <w:rPr>
          <w:rFonts w:ascii="Arial" w:eastAsia="Arial" w:hAnsi="Arial" w:cs="Arial"/>
          <w:sz w:val="24"/>
          <w:szCs w:val="24"/>
        </w:rPr>
        <w:t>party to address these and other inequities during this Parliamentary term.</w:t>
      </w:r>
    </w:p>
    <w:p w14:paraId="32B8ACB1" w14:textId="71C5E009" w:rsidR="00D6041B" w:rsidRDefault="00D6041B" w:rsidP="004F5DC1">
      <w:pPr>
        <w:spacing w:line="360" w:lineRule="auto"/>
        <w:rPr>
          <w:rFonts w:ascii="Arial" w:eastAsia="Arial" w:hAnsi="Arial" w:cs="Arial"/>
          <w:sz w:val="24"/>
          <w:szCs w:val="24"/>
        </w:rPr>
      </w:pPr>
    </w:p>
    <w:p w14:paraId="4F309C06" w14:textId="16DE7B9B" w:rsidR="00D6041B" w:rsidRDefault="00D6041B" w:rsidP="004F5DC1">
      <w:pPr>
        <w:spacing w:line="360" w:lineRule="auto"/>
        <w:rPr>
          <w:rFonts w:ascii="Arial" w:eastAsia="Arial" w:hAnsi="Arial" w:cs="Arial"/>
          <w:sz w:val="24"/>
          <w:szCs w:val="24"/>
        </w:rPr>
      </w:pPr>
    </w:p>
    <w:p w14:paraId="7038B296" w14:textId="4A28170F" w:rsidR="00D6041B" w:rsidRDefault="00D6041B" w:rsidP="004F5DC1">
      <w:pPr>
        <w:spacing w:line="360" w:lineRule="auto"/>
        <w:rPr>
          <w:rFonts w:ascii="Arial" w:eastAsia="Arial" w:hAnsi="Arial" w:cs="Arial"/>
          <w:sz w:val="24"/>
          <w:szCs w:val="24"/>
        </w:rPr>
      </w:pPr>
    </w:p>
    <w:p w14:paraId="7F0969F2" w14:textId="27325E67" w:rsidR="00D6041B" w:rsidRDefault="00D6041B" w:rsidP="004F5DC1">
      <w:pPr>
        <w:spacing w:line="360" w:lineRule="auto"/>
        <w:rPr>
          <w:rFonts w:ascii="Arial" w:eastAsia="Arial" w:hAnsi="Arial" w:cs="Arial"/>
          <w:sz w:val="24"/>
          <w:szCs w:val="24"/>
        </w:rPr>
      </w:pPr>
    </w:p>
    <w:p w14:paraId="525C6810" w14:textId="3E111510" w:rsidR="00D6041B" w:rsidRDefault="00D6041B" w:rsidP="004F5DC1">
      <w:pPr>
        <w:spacing w:line="360" w:lineRule="auto"/>
        <w:rPr>
          <w:rFonts w:ascii="Arial" w:eastAsia="Arial" w:hAnsi="Arial" w:cs="Arial"/>
          <w:sz w:val="24"/>
          <w:szCs w:val="24"/>
        </w:rPr>
      </w:pPr>
    </w:p>
    <w:p w14:paraId="3061EC31" w14:textId="77777777" w:rsidR="00D6041B" w:rsidRDefault="00D6041B" w:rsidP="004F5DC1">
      <w:pPr>
        <w:spacing w:line="360" w:lineRule="auto"/>
        <w:rPr>
          <w:rFonts w:ascii="Arial" w:eastAsia="Arial" w:hAnsi="Arial" w:cs="Arial"/>
          <w:sz w:val="24"/>
          <w:szCs w:val="24"/>
        </w:rPr>
      </w:pPr>
    </w:p>
    <w:p w14:paraId="0A40E519" w14:textId="447F6AE5" w:rsidR="00ED41DD" w:rsidRDefault="00ED41DD" w:rsidP="00ED41DD">
      <w:pPr>
        <w:pStyle w:val="Heading1"/>
      </w:pPr>
      <w:bookmarkStart w:id="0" w:name="_bln8q4kgn66u" w:colFirst="0" w:colLast="0"/>
      <w:bookmarkEnd w:id="0"/>
      <w:r>
        <w:t>Data on income inadequacy</w:t>
      </w:r>
    </w:p>
    <w:p w14:paraId="76A1ACB2" w14:textId="0676ED69" w:rsidR="00ED41DD" w:rsidRDefault="00ED41DD" w:rsidP="00ED41DD">
      <w:pPr>
        <w:spacing w:line="360" w:lineRule="auto"/>
        <w:rPr>
          <w:rFonts w:ascii="Arial" w:eastAsia="Arial" w:hAnsi="Arial" w:cs="Arial"/>
          <w:sz w:val="24"/>
          <w:szCs w:val="24"/>
        </w:rPr>
      </w:pPr>
      <w:r>
        <w:rPr>
          <w:rFonts w:ascii="Arial" w:eastAsia="Arial" w:hAnsi="Arial" w:cs="Arial"/>
          <w:sz w:val="24"/>
          <w:szCs w:val="24"/>
        </w:rPr>
        <w:t xml:space="preserve">In 2020, disabled people aged 18 to 64 are the second most likely group to report not having enough income for everyday needs. They only scored 2.9% less than </w:t>
      </w:r>
      <w:r w:rsidR="00067B41">
        <w:rPr>
          <w:rFonts w:ascii="Arial" w:eastAsia="Arial" w:hAnsi="Arial" w:cs="Arial"/>
          <w:sz w:val="24"/>
          <w:szCs w:val="24"/>
        </w:rPr>
        <w:t>unemployed people.</w:t>
      </w:r>
    </w:p>
    <w:p w14:paraId="5D143B0D" w14:textId="77777777" w:rsidR="00C57A15" w:rsidRDefault="00C57A15" w:rsidP="00ED41DD">
      <w:pPr>
        <w:spacing w:line="360" w:lineRule="auto"/>
        <w:rPr>
          <w:rFonts w:ascii="Arial" w:eastAsia="Arial" w:hAnsi="Arial" w:cs="Arial"/>
          <w:sz w:val="24"/>
          <w:szCs w:val="24"/>
        </w:rPr>
      </w:pPr>
    </w:p>
    <w:p w14:paraId="30BE01D0" w14:textId="4364D5A8" w:rsidR="00ED41DD" w:rsidRDefault="00ED41DD" w:rsidP="00ED41DD">
      <w:pPr>
        <w:spacing w:line="360" w:lineRule="auto"/>
        <w:rPr>
          <w:rFonts w:ascii="Arial" w:eastAsia="Arial" w:hAnsi="Arial" w:cs="Arial"/>
          <w:sz w:val="24"/>
          <w:szCs w:val="24"/>
        </w:rPr>
      </w:pPr>
      <w:r>
        <w:rPr>
          <w:rFonts w:ascii="Arial" w:eastAsia="Arial" w:hAnsi="Arial" w:cs="Arial"/>
          <w:sz w:val="24"/>
          <w:szCs w:val="24"/>
        </w:rPr>
        <w:t xml:space="preserve">This is despite 39.9% of disabled people aged 18 to 64 being in paid employment. </w:t>
      </w:r>
    </w:p>
    <w:p w14:paraId="66477F54" w14:textId="49AB20D3" w:rsidR="00C57A15" w:rsidRDefault="00ED41DD" w:rsidP="00ED41DD">
      <w:pPr>
        <w:spacing w:line="360" w:lineRule="auto"/>
        <w:rPr>
          <w:rFonts w:ascii="Arial" w:eastAsia="Arial" w:hAnsi="Arial" w:cs="Arial"/>
          <w:sz w:val="24"/>
          <w:szCs w:val="24"/>
        </w:rPr>
      </w:pPr>
      <w:r>
        <w:rPr>
          <w:rFonts w:ascii="Arial" w:eastAsia="Arial" w:hAnsi="Arial" w:cs="Arial"/>
          <w:sz w:val="24"/>
          <w:szCs w:val="24"/>
        </w:rPr>
        <w:t>This shows that while improving employment outcomes for disabled people is vital, it will not be enough on its own to reduce income inadequacy amongst disabled people and their whānau. We also need robust disability supports and allowances to reduce the extra costs that disabled people face. Clearly, our current allowances and support</w:t>
      </w:r>
      <w:r w:rsidR="008530AA">
        <w:rPr>
          <w:rFonts w:ascii="Arial" w:eastAsia="Arial" w:hAnsi="Arial" w:cs="Arial"/>
          <w:sz w:val="24"/>
          <w:szCs w:val="24"/>
        </w:rPr>
        <w:t>s</w:t>
      </w:r>
      <w:r>
        <w:rPr>
          <w:rFonts w:ascii="Arial" w:eastAsia="Arial" w:hAnsi="Arial" w:cs="Arial"/>
          <w:sz w:val="24"/>
          <w:szCs w:val="24"/>
        </w:rPr>
        <w:t xml:space="preserve"> are inadequate. </w:t>
      </w:r>
    </w:p>
    <w:p w14:paraId="1E3FF9F7" w14:textId="2BEEDE17" w:rsidR="00A71DC5" w:rsidRDefault="00A23F4C" w:rsidP="00ED41DD">
      <w:pPr>
        <w:widowControl w:val="0"/>
        <w:spacing w:line="360" w:lineRule="auto"/>
        <w:rPr>
          <w:noProof/>
        </w:rPr>
      </w:pPr>
      <w:r>
        <w:rPr>
          <w:noProof/>
        </w:rPr>
        <w:drawing>
          <wp:inline distT="0" distB="0" distL="0" distR="0" wp14:anchorId="05CADFFE" wp14:editId="39265617">
            <wp:extent cx="6092456" cy="5151600"/>
            <wp:effectExtent l="0" t="0" r="3810" b="11430"/>
            <wp:docPr id="5" name="Chart 5">
              <a:extLst xmlns:a="http://schemas.openxmlformats.org/drawingml/2006/main">
                <a:ext uri="{FF2B5EF4-FFF2-40B4-BE49-F238E27FC236}">
                  <a16:creationId xmlns:a16="http://schemas.microsoft.com/office/drawing/2014/main" id="{911463F8-30EC-45D4-907F-DA043338F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AEC40E" w14:textId="49CC7139" w:rsidR="00D6041B" w:rsidRPr="00D6041B" w:rsidRDefault="00D6041B">
      <w:pPr>
        <w:rPr>
          <w:rFonts w:ascii="Arial" w:hAnsi="Arial" w:cs="Arial"/>
          <w:noProof/>
          <w:sz w:val="24"/>
          <w:szCs w:val="24"/>
        </w:rPr>
      </w:pPr>
    </w:p>
    <w:p w14:paraId="4320730B" w14:textId="4EEA56F2" w:rsidR="00D6041B" w:rsidRPr="00D6041B" w:rsidRDefault="00D6041B">
      <w:pPr>
        <w:rPr>
          <w:rFonts w:ascii="Arial" w:hAnsi="Arial" w:cs="Arial"/>
          <w:noProof/>
          <w:sz w:val="24"/>
          <w:szCs w:val="24"/>
        </w:rPr>
      </w:pPr>
    </w:p>
    <w:p w14:paraId="0F16559D" w14:textId="66DF1763" w:rsidR="00D6041B" w:rsidRPr="00D6041B" w:rsidRDefault="00D6041B">
      <w:pPr>
        <w:rPr>
          <w:rFonts w:ascii="Arial" w:hAnsi="Arial" w:cs="Arial"/>
          <w:noProof/>
          <w:sz w:val="24"/>
          <w:szCs w:val="24"/>
        </w:rPr>
      </w:pPr>
    </w:p>
    <w:p w14:paraId="17912961" w14:textId="36ED1DBE" w:rsidR="00D6041B" w:rsidRPr="00D6041B" w:rsidRDefault="00D6041B">
      <w:pPr>
        <w:rPr>
          <w:rFonts w:ascii="Arial" w:hAnsi="Arial" w:cs="Arial"/>
          <w:noProof/>
          <w:sz w:val="24"/>
          <w:szCs w:val="24"/>
        </w:rPr>
      </w:pPr>
    </w:p>
    <w:p w14:paraId="24257173" w14:textId="4DF23C86" w:rsidR="00D23621" w:rsidRPr="00862567" w:rsidRDefault="00862567" w:rsidP="00862567">
      <w:pPr>
        <w:spacing w:line="360" w:lineRule="auto"/>
        <w:rPr>
          <w:rFonts w:ascii="Arial" w:hAnsi="Arial" w:cs="Arial"/>
          <w:b/>
          <w:sz w:val="24"/>
          <w:szCs w:val="24"/>
        </w:rPr>
      </w:pPr>
      <w:r w:rsidRPr="00862567">
        <w:rPr>
          <w:rFonts w:ascii="Arial" w:hAnsi="Arial" w:cs="Arial"/>
          <w:bCs/>
          <w:sz w:val="24"/>
          <w:szCs w:val="24"/>
        </w:rPr>
        <w:t>We do not distribute support</w:t>
      </w:r>
      <w:r w:rsidRPr="00862567">
        <w:rPr>
          <w:rFonts w:ascii="Arial" w:hAnsi="Arial" w:cs="Arial"/>
          <w:b/>
          <w:sz w:val="24"/>
          <w:szCs w:val="24"/>
        </w:rPr>
        <w:t xml:space="preserve"> </w:t>
      </w:r>
      <w:r w:rsidR="00FF5EAB" w:rsidRPr="00862567">
        <w:rPr>
          <w:rFonts w:ascii="Arial" w:hAnsi="Arial" w:cs="Arial"/>
          <w:sz w:val="24"/>
          <w:szCs w:val="24"/>
        </w:rPr>
        <w:t>equitabl</w:t>
      </w:r>
      <w:r w:rsidRPr="008B7AB5">
        <w:rPr>
          <w:rFonts w:ascii="Arial" w:hAnsi="Arial" w:cs="Arial"/>
          <w:bCs/>
          <w:sz w:val="24"/>
          <w:szCs w:val="24"/>
        </w:rPr>
        <w:t>y</w:t>
      </w:r>
      <w:r w:rsidR="00FF5EAB" w:rsidRPr="00862567">
        <w:rPr>
          <w:rFonts w:ascii="Arial" w:hAnsi="Arial" w:cs="Arial"/>
          <w:sz w:val="24"/>
          <w:szCs w:val="24"/>
        </w:rPr>
        <w:t xml:space="preserve">. Because of complex application processes Māori and Pacific disabled peoples are often disadvantaged. </w:t>
      </w:r>
      <w:r w:rsidR="00D23621" w:rsidRPr="00862567">
        <w:rPr>
          <w:rFonts w:ascii="Arial" w:hAnsi="Arial" w:cs="Arial"/>
          <w:sz w:val="24"/>
          <w:szCs w:val="24"/>
        </w:rPr>
        <w:t xml:space="preserve">For example, over the last decade, New Zealand Europeans have received consistently higher amounts from the Disability Allowance than Māori or Pacific </w:t>
      </w:r>
      <w:r w:rsidR="009B232C">
        <w:rPr>
          <w:rFonts w:ascii="Arial" w:hAnsi="Arial" w:cs="Arial"/>
          <w:sz w:val="24"/>
          <w:szCs w:val="24"/>
        </w:rPr>
        <w:t>P</w:t>
      </w:r>
      <w:r w:rsidR="00D23621" w:rsidRPr="00862567">
        <w:rPr>
          <w:rFonts w:ascii="Arial" w:hAnsi="Arial" w:cs="Arial"/>
          <w:sz w:val="24"/>
          <w:szCs w:val="24"/>
        </w:rPr>
        <w:t>eoples.</w:t>
      </w:r>
    </w:p>
    <w:p w14:paraId="7F728030" w14:textId="1BA11D58" w:rsidR="00AB4B44" w:rsidRDefault="00AB4B44" w:rsidP="00862567"/>
    <w:p w14:paraId="0EEF6BEC" w14:textId="1833E161" w:rsidR="00AB4B44" w:rsidRDefault="00AB4B44" w:rsidP="00AB4B44">
      <w:r>
        <w:rPr>
          <w:noProof/>
        </w:rPr>
        <w:drawing>
          <wp:inline distT="0" distB="0" distL="0" distR="0" wp14:anchorId="0B244CB6" wp14:editId="545EB32C">
            <wp:extent cx="6091200" cy="5153025"/>
            <wp:effectExtent l="0" t="0" r="5080" b="9525"/>
            <wp:docPr id="2" name="Chart 2">
              <a:extLst xmlns:a="http://schemas.openxmlformats.org/drawingml/2006/main">
                <a:ext uri="{FF2B5EF4-FFF2-40B4-BE49-F238E27FC236}">
                  <a16:creationId xmlns:a16="http://schemas.microsoft.com/office/drawing/2014/main" id="{6903DCFF-D301-4157-B1D5-CBA7DE90F6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E5EC66" w14:textId="77777777" w:rsidR="00AB4B44" w:rsidRDefault="00AB4B44" w:rsidP="008B7AB5">
      <w:pPr>
        <w:spacing w:line="360" w:lineRule="auto"/>
      </w:pPr>
    </w:p>
    <w:p w14:paraId="088D8E09" w14:textId="27FF492E" w:rsidR="00EA0BAC" w:rsidRPr="005A3D99" w:rsidRDefault="00A71DC5" w:rsidP="001B5142">
      <w:pPr>
        <w:pStyle w:val="Heading2"/>
      </w:pPr>
      <w:r w:rsidRPr="005A3D99">
        <w:t>Our recommendations</w:t>
      </w:r>
    </w:p>
    <w:p w14:paraId="2E3C54D1" w14:textId="71848D99" w:rsidR="00AB4B44" w:rsidRPr="005A3D99" w:rsidRDefault="00FF5EAB" w:rsidP="00A71DC5">
      <w:pPr>
        <w:spacing w:line="360" w:lineRule="auto"/>
        <w:rPr>
          <w:rFonts w:ascii="Arial" w:hAnsi="Arial" w:cs="Arial"/>
          <w:sz w:val="24"/>
          <w:szCs w:val="24"/>
        </w:rPr>
      </w:pPr>
      <w:r w:rsidRPr="005A3D99">
        <w:rPr>
          <w:rFonts w:ascii="Arial" w:hAnsi="Arial" w:cs="Arial"/>
          <w:sz w:val="24"/>
          <w:szCs w:val="24"/>
        </w:rPr>
        <w:t xml:space="preserve">We need to both increase the amount of support and </w:t>
      </w:r>
      <w:r w:rsidR="00937B79">
        <w:rPr>
          <w:rFonts w:ascii="Arial" w:hAnsi="Arial" w:cs="Arial"/>
          <w:sz w:val="24"/>
          <w:szCs w:val="24"/>
        </w:rPr>
        <w:t>distribute it more fairly</w:t>
      </w:r>
      <w:r w:rsidRPr="005A3D99">
        <w:rPr>
          <w:rFonts w:ascii="Arial" w:hAnsi="Arial" w:cs="Arial"/>
          <w:sz w:val="24"/>
          <w:szCs w:val="24"/>
        </w:rPr>
        <w:t xml:space="preserve">. </w:t>
      </w:r>
      <w:r w:rsidR="009B232C" w:rsidRPr="005A3D99">
        <w:rPr>
          <w:rFonts w:ascii="Arial" w:hAnsi="Arial" w:cs="Arial"/>
          <w:sz w:val="24"/>
          <w:szCs w:val="24"/>
        </w:rPr>
        <w:t xml:space="preserve">To address this, </w:t>
      </w:r>
      <w:r w:rsidR="004F37DD">
        <w:rPr>
          <w:rFonts w:ascii="Arial" w:hAnsi="Arial" w:cs="Arial"/>
          <w:sz w:val="24"/>
          <w:szCs w:val="24"/>
        </w:rPr>
        <w:t>in</w:t>
      </w:r>
      <w:r w:rsidR="009B232C" w:rsidRPr="005A3D99">
        <w:rPr>
          <w:rFonts w:ascii="Arial" w:hAnsi="Arial" w:cs="Arial"/>
          <w:sz w:val="24"/>
          <w:szCs w:val="24"/>
        </w:rPr>
        <w:t xml:space="preserve"> the short-term,</w:t>
      </w:r>
      <w:r w:rsidR="00862567" w:rsidRPr="005A3D99">
        <w:rPr>
          <w:rFonts w:ascii="Arial" w:hAnsi="Arial" w:cs="Arial"/>
          <w:sz w:val="24"/>
          <w:szCs w:val="24"/>
        </w:rPr>
        <w:t xml:space="preserve"> </w:t>
      </w:r>
      <w:r w:rsidR="009B232C" w:rsidRPr="005A3D99">
        <w:rPr>
          <w:rFonts w:ascii="Arial" w:hAnsi="Arial" w:cs="Arial"/>
          <w:sz w:val="24"/>
          <w:szCs w:val="24"/>
        </w:rPr>
        <w:t>w</w:t>
      </w:r>
      <w:r w:rsidRPr="005A3D99">
        <w:rPr>
          <w:rFonts w:ascii="Arial" w:hAnsi="Arial" w:cs="Arial"/>
          <w:sz w:val="24"/>
          <w:szCs w:val="24"/>
        </w:rPr>
        <w:t>e recommend</w:t>
      </w:r>
      <w:r w:rsidR="008B7AB5">
        <w:rPr>
          <w:rFonts w:ascii="Arial" w:hAnsi="Arial" w:cs="Arial"/>
          <w:sz w:val="24"/>
          <w:szCs w:val="24"/>
        </w:rPr>
        <w:t>:</w:t>
      </w:r>
      <w:r w:rsidRPr="005A3D99">
        <w:rPr>
          <w:rFonts w:ascii="Arial" w:hAnsi="Arial" w:cs="Arial"/>
          <w:sz w:val="24"/>
          <w:szCs w:val="24"/>
        </w:rPr>
        <w:t xml:space="preserve">  </w:t>
      </w:r>
    </w:p>
    <w:p w14:paraId="79422D91" w14:textId="418C8E15" w:rsidR="004F37DD" w:rsidRPr="004F37DD" w:rsidRDefault="00BF27C6" w:rsidP="004F37DD">
      <w:pPr>
        <w:pStyle w:val="ListParagraph"/>
        <w:numPr>
          <w:ilvl w:val="0"/>
          <w:numId w:val="2"/>
        </w:numPr>
        <w:rPr>
          <w:rFonts w:cs="Arial"/>
        </w:rPr>
      </w:pPr>
      <w:r>
        <w:rPr>
          <w:rFonts w:cs="Arial"/>
        </w:rPr>
        <w:t>Chang</w:t>
      </w:r>
      <w:r w:rsidR="00462A23">
        <w:rPr>
          <w:rFonts w:cs="Arial"/>
        </w:rPr>
        <w:t>ing</w:t>
      </w:r>
      <w:r w:rsidR="00F760A7" w:rsidRPr="005A3D99">
        <w:rPr>
          <w:rFonts w:cs="Arial"/>
        </w:rPr>
        <w:t xml:space="preserve"> the Disability Allowance to a fixed amount</w:t>
      </w:r>
      <w:r w:rsidR="004F37DD">
        <w:rPr>
          <w:rFonts w:cs="Arial"/>
        </w:rPr>
        <w:t xml:space="preserve"> of </w:t>
      </w:r>
      <w:r w:rsidR="00937B79">
        <w:rPr>
          <w:rFonts w:cs="Arial"/>
        </w:rPr>
        <w:t xml:space="preserve">at least </w:t>
      </w:r>
      <w:r w:rsidR="004F37DD" w:rsidRPr="004F37DD">
        <w:rPr>
          <w:rFonts w:cs="Arial"/>
        </w:rPr>
        <w:t>$65.36</w:t>
      </w:r>
      <w:r w:rsidR="004F37DD">
        <w:rPr>
          <w:rFonts w:cs="Arial"/>
        </w:rPr>
        <w:t xml:space="preserve"> a week (the current maximum)</w:t>
      </w:r>
      <w:r w:rsidR="00937B79">
        <w:rPr>
          <w:rFonts w:cs="Arial"/>
        </w:rPr>
        <w:t xml:space="preserve"> </w:t>
      </w:r>
      <w:r w:rsidR="00862567" w:rsidRPr="005A3D99">
        <w:rPr>
          <w:rFonts w:cs="Arial"/>
        </w:rPr>
        <w:t>and simplify</w:t>
      </w:r>
      <w:r w:rsidR="006A34E4">
        <w:rPr>
          <w:rFonts w:cs="Arial"/>
        </w:rPr>
        <w:t>ing</w:t>
      </w:r>
      <w:r w:rsidR="00862567" w:rsidRPr="005A3D99">
        <w:rPr>
          <w:rFonts w:cs="Arial"/>
        </w:rPr>
        <w:t xml:space="preserve"> the application process.</w:t>
      </w:r>
    </w:p>
    <w:p w14:paraId="10AC39E6" w14:textId="40758CA3" w:rsidR="004F37DD" w:rsidRDefault="002B4D71" w:rsidP="004F37DD">
      <w:pPr>
        <w:spacing w:line="360" w:lineRule="auto"/>
        <w:rPr>
          <w:rFonts w:ascii="Arial" w:hAnsi="Arial" w:cs="Arial"/>
          <w:sz w:val="24"/>
          <w:szCs w:val="24"/>
        </w:rPr>
      </w:pPr>
      <w:r w:rsidRPr="005A3D99">
        <w:rPr>
          <w:rFonts w:ascii="Arial" w:hAnsi="Arial" w:cs="Arial"/>
          <w:sz w:val="24"/>
          <w:szCs w:val="24"/>
        </w:rPr>
        <w:t>This is likely to reduce ethnic inequality with the Disability Allowance</w:t>
      </w:r>
      <w:r w:rsidR="004F37DD">
        <w:rPr>
          <w:rFonts w:ascii="Arial" w:hAnsi="Arial" w:cs="Arial"/>
          <w:sz w:val="24"/>
          <w:szCs w:val="24"/>
        </w:rPr>
        <w:t xml:space="preserve"> and reduce income inadequacy amongst disabled people and their whānau.</w:t>
      </w:r>
    </w:p>
    <w:p w14:paraId="1E8230C7" w14:textId="64F25420" w:rsidR="004F37DD" w:rsidRDefault="004F37DD" w:rsidP="004F37DD">
      <w:pPr>
        <w:spacing w:line="360" w:lineRule="auto"/>
        <w:rPr>
          <w:rFonts w:ascii="Arial" w:hAnsi="Arial" w:cs="Arial"/>
          <w:sz w:val="24"/>
          <w:szCs w:val="24"/>
        </w:rPr>
      </w:pPr>
      <w:r>
        <w:rPr>
          <w:rFonts w:ascii="Arial" w:hAnsi="Arial" w:cs="Arial"/>
          <w:sz w:val="24"/>
          <w:szCs w:val="24"/>
        </w:rPr>
        <w:t>As income inadequacy is higher amongst disabled people under 65 years of age</w:t>
      </w:r>
      <w:r w:rsidR="00D242F0">
        <w:rPr>
          <w:rStyle w:val="FootnoteReference"/>
          <w:rFonts w:ascii="Arial" w:hAnsi="Arial" w:cs="Arial"/>
          <w:sz w:val="24"/>
          <w:szCs w:val="24"/>
        </w:rPr>
        <w:footnoteReference w:id="1"/>
      </w:r>
      <w:r>
        <w:rPr>
          <w:rFonts w:ascii="Arial" w:hAnsi="Arial" w:cs="Arial"/>
          <w:sz w:val="24"/>
          <w:szCs w:val="24"/>
        </w:rPr>
        <w:t>,</w:t>
      </w:r>
      <w:r w:rsidR="00937B79">
        <w:rPr>
          <w:rFonts w:ascii="Arial" w:hAnsi="Arial" w:cs="Arial"/>
          <w:sz w:val="24"/>
          <w:szCs w:val="24"/>
        </w:rPr>
        <w:t xml:space="preserve"> we could make </w:t>
      </w:r>
      <w:r>
        <w:rPr>
          <w:rFonts w:ascii="Arial" w:hAnsi="Arial" w:cs="Arial"/>
          <w:sz w:val="24"/>
          <w:szCs w:val="24"/>
        </w:rPr>
        <w:t xml:space="preserve">this change first for disabled people under 65 years of age. This would limit the </w:t>
      </w:r>
      <w:r w:rsidR="00D242F0">
        <w:rPr>
          <w:rFonts w:ascii="Arial" w:hAnsi="Arial" w:cs="Arial"/>
          <w:sz w:val="24"/>
          <w:szCs w:val="24"/>
        </w:rPr>
        <w:t>cost of the change (</w:t>
      </w:r>
      <w:r w:rsidR="00CF0342">
        <w:rPr>
          <w:rFonts w:ascii="Arial" w:hAnsi="Arial" w:cs="Arial"/>
          <w:sz w:val="24"/>
          <w:szCs w:val="24"/>
        </w:rPr>
        <w:t>i</w:t>
      </w:r>
      <w:r w:rsidR="00D242F0">
        <w:rPr>
          <w:rFonts w:ascii="Arial" w:hAnsi="Arial" w:cs="Arial"/>
          <w:sz w:val="24"/>
          <w:szCs w:val="24"/>
        </w:rPr>
        <w:t xml:space="preserve">n June 2019, 55.7% of people receiving the Disability Allowance were over 65), while addressing poverty amongst disabled people.  </w:t>
      </w:r>
    </w:p>
    <w:p w14:paraId="23C9A002" w14:textId="77777777" w:rsidR="00AB4B44" w:rsidRPr="005A3D99" w:rsidRDefault="00AB4B44" w:rsidP="00AB4B44">
      <w:pPr>
        <w:rPr>
          <w:rFonts w:ascii="Arial" w:hAnsi="Arial" w:cs="Arial"/>
          <w:sz w:val="24"/>
          <w:szCs w:val="24"/>
          <w:lang w:eastAsia="en-US"/>
        </w:rPr>
      </w:pPr>
    </w:p>
    <w:p w14:paraId="080608CE" w14:textId="4F95406E" w:rsidR="00D242F0" w:rsidRDefault="009B232C" w:rsidP="00BF27C6">
      <w:pPr>
        <w:spacing w:line="360" w:lineRule="auto"/>
        <w:rPr>
          <w:rFonts w:ascii="Arial" w:hAnsi="Arial" w:cs="Arial"/>
          <w:color w:val="000000"/>
          <w:sz w:val="24"/>
          <w:szCs w:val="24"/>
        </w:rPr>
      </w:pPr>
      <w:r w:rsidRPr="005A3D99">
        <w:rPr>
          <w:rFonts w:ascii="Arial" w:hAnsi="Arial" w:cs="Arial"/>
          <w:color w:val="000000"/>
          <w:sz w:val="24"/>
          <w:szCs w:val="24"/>
        </w:rPr>
        <w:t>Over the medium to long-term,</w:t>
      </w:r>
      <w:r w:rsidR="00BF27C6">
        <w:rPr>
          <w:rFonts w:ascii="Arial" w:hAnsi="Arial" w:cs="Arial"/>
          <w:color w:val="000000"/>
          <w:sz w:val="24"/>
          <w:szCs w:val="24"/>
        </w:rPr>
        <w:t xml:space="preserve"> we need to implement</w:t>
      </w:r>
      <w:r w:rsidRPr="005A3D99">
        <w:rPr>
          <w:rFonts w:ascii="Arial" w:hAnsi="Arial" w:cs="Arial"/>
          <w:color w:val="000000"/>
          <w:sz w:val="24"/>
          <w:szCs w:val="24"/>
        </w:rPr>
        <w:t xml:space="preserve"> </w:t>
      </w:r>
      <w:r w:rsidR="00EC14E4">
        <w:rPr>
          <w:rFonts w:ascii="Arial" w:hAnsi="Arial" w:cs="Arial"/>
          <w:color w:val="000000"/>
          <w:sz w:val="24"/>
          <w:szCs w:val="24"/>
        </w:rPr>
        <w:t>the</w:t>
      </w:r>
      <w:r w:rsidR="00D242F0">
        <w:rPr>
          <w:rFonts w:ascii="Arial" w:hAnsi="Arial" w:cs="Arial"/>
          <w:color w:val="000000"/>
          <w:sz w:val="24"/>
          <w:szCs w:val="24"/>
        </w:rPr>
        <w:t xml:space="preserve"> </w:t>
      </w:r>
      <w:r w:rsidR="00EC14E4" w:rsidRPr="005A3D99">
        <w:rPr>
          <w:rFonts w:ascii="Arial" w:hAnsi="Arial" w:cs="Arial"/>
          <w:color w:val="000000"/>
          <w:sz w:val="24"/>
          <w:szCs w:val="24"/>
        </w:rPr>
        <w:t>Welfare Expert Advisory Group’s recommendation</w:t>
      </w:r>
      <w:r w:rsidR="00EC14E4">
        <w:rPr>
          <w:rFonts w:ascii="Arial" w:hAnsi="Arial" w:cs="Arial"/>
          <w:color w:val="000000"/>
          <w:sz w:val="24"/>
          <w:szCs w:val="24"/>
        </w:rPr>
        <w:t>s</w:t>
      </w:r>
      <w:r w:rsidR="00BF27C6">
        <w:rPr>
          <w:rFonts w:ascii="Arial" w:hAnsi="Arial" w:cs="Arial"/>
          <w:color w:val="000000"/>
          <w:sz w:val="24"/>
          <w:szCs w:val="24"/>
        </w:rPr>
        <w:t>. This includes:</w:t>
      </w:r>
    </w:p>
    <w:p w14:paraId="31EBE41E" w14:textId="6C9E1C7D" w:rsidR="00A71DC5" w:rsidRPr="00BF27C6" w:rsidRDefault="0086036C" w:rsidP="00BF27C6">
      <w:pPr>
        <w:pStyle w:val="ListParagraph"/>
        <w:numPr>
          <w:ilvl w:val="0"/>
          <w:numId w:val="3"/>
        </w:numPr>
        <w:rPr>
          <w:rFonts w:cs="Arial"/>
          <w:color w:val="000000"/>
        </w:rPr>
      </w:pPr>
      <w:r>
        <w:rPr>
          <w:rFonts w:cs="Arial"/>
          <w:color w:val="000000"/>
        </w:rPr>
        <w:t>g</w:t>
      </w:r>
      <w:r w:rsidR="00BF27C6" w:rsidRPr="00BF27C6">
        <w:rPr>
          <w:rFonts w:cs="Arial"/>
          <w:color w:val="000000"/>
        </w:rPr>
        <w:t xml:space="preserve">etting </w:t>
      </w:r>
      <w:r w:rsidR="002B4D71" w:rsidRPr="00BF27C6">
        <w:rPr>
          <w:rFonts w:cs="Arial"/>
          <w:color w:val="000000"/>
        </w:rPr>
        <w:t>the</w:t>
      </w:r>
      <w:r w:rsidR="005016BD" w:rsidRPr="00BF27C6">
        <w:rPr>
          <w:rFonts w:cs="Arial"/>
          <w:color w:val="000000"/>
        </w:rPr>
        <w:t xml:space="preserve"> Ministry</w:t>
      </w:r>
      <w:r w:rsidR="00A71DC5" w:rsidRPr="00BF27C6">
        <w:rPr>
          <w:rFonts w:cs="Arial"/>
          <w:color w:val="000000"/>
        </w:rPr>
        <w:t xml:space="preserve"> of Social Development and Ministry of Health to work out what disability-related costs they are each responsible for</w:t>
      </w:r>
      <w:r w:rsidR="00BF27C6" w:rsidRPr="00BF27C6">
        <w:rPr>
          <w:rFonts w:cs="Arial"/>
          <w:color w:val="000000"/>
        </w:rPr>
        <w:t>; and</w:t>
      </w:r>
      <w:r w:rsidR="00BF27C6">
        <w:rPr>
          <w:rFonts w:cs="Arial"/>
          <w:color w:val="000000"/>
        </w:rPr>
        <w:t>/or</w:t>
      </w:r>
    </w:p>
    <w:p w14:paraId="6358F273" w14:textId="0DD78BEA" w:rsidR="00BF27C6" w:rsidRPr="00BF27C6" w:rsidRDefault="0086036C" w:rsidP="00BF27C6">
      <w:pPr>
        <w:pStyle w:val="ListParagraph"/>
        <w:numPr>
          <w:ilvl w:val="0"/>
          <w:numId w:val="3"/>
        </w:numPr>
        <w:rPr>
          <w:rFonts w:cs="Arial"/>
          <w:bCs/>
        </w:rPr>
      </w:pPr>
      <w:r>
        <w:rPr>
          <w:rFonts w:cs="Arial"/>
          <w:color w:val="000000"/>
        </w:rPr>
        <w:t>a</w:t>
      </w:r>
      <w:r w:rsidR="00BF27C6" w:rsidRPr="00BF27C6">
        <w:rPr>
          <w:rFonts w:cs="Arial"/>
          <w:color w:val="000000"/>
        </w:rPr>
        <w:t xml:space="preserve">ddressing </w:t>
      </w:r>
      <w:r>
        <w:rPr>
          <w:rFonts w:cs="Arial"/>
          <w:color w:val="000000"/>
        </w:rPr>
        <w:t xml:space="preserve">the </w:t>
      </w:r>
      <w:r w:rsidR="00BF27C6" w:rsidRPr="00BF27C6">
        <w:rPr>
          <w:rFonts w:cs="Arial"/>
          <w:color w:val="000000"/>
        </w:rPr>
        <w:t xml:space="preserve">gap between the </w:t>
      </w:r>
      <w:r w:rsidR="00D10FD2">
        <w:rPr>
          <w:rFonts w:cs="Arial"/>
          <w:color w:val="000000"/>
        </w:rPr>
        <w:t xml:space="preserve">disability </w:t>
      </w:r>
      <w:r w:rsidR="00BF27C6" w:rsidRPr="00BF27C6">
        <w:rPr>
          <w:rFonts w:cs="Arial"/>
          <w:color w:val="000000"/>
        </w:rPr>
        <w:t xml:space="preserve">support provided under ACC and the </w:t>
      </w:r>
      <w:r w:rsidR="00327AB7">
        <w:rPr>
          <w:rFonts w:cs="Arial"/>
          <w:color w:val="000000"/>
        </w:rPr>
        <w:t xml:space="preserve">disability </w:t>
      </w:r>
      <w:r w:rsidR="00F72FB1">
        <w:rPr>
          <w:rFonts w:cs="Arial"/>
          <w:color w:val="000000"/>
        </w:rPr>
        <w:t xml:space="preserve">support provided by the </w:t>
      </w:r>
      <w:r w:rsidR="00BF27C6" w:rsidRPr="00BF27C6">
        <w:rPr>
          <w:rFonts w:cs="Arial"/>
          <w:color w:val="000000"/>
        </w:rPr>
        <w:t>Ministries of Health and Social Development</w:t>
      </w:r>
      <w:r w:rsidR="00BF27C6">
        <w:rPr>
          <w:rFonts w:cs="Arial"/>
          <w:color w:val="000000"/>
        </w:rPr>
        <w:t xml:space="preserve"> (either by expanding ACC to cover all impairment causes or by increasing the support provided by the Ministries of Health and Social Development to an equivalent level as ACC)</w:t>
      </w:r>
      <w:r w:rsidR="00BF27C6" w:rsidRPr="00BF27C6">
        <w:rPr>
          <w:rFonts w:cs="Arial"/>
          <w:color w:val="000000"/>
        </w:rPr>
        <w:t xml:space="preserve">. </w:t>
      </w:r>
    </w:p>
    <w:p w14:paraId="064C4EAB" w14:textId="77777777" w:rsidR="00A71DC5" w:rsidRPr="00D6041B" w:rsidRDefault="00A71DC5" w:rsidP="00ED41DD">
      <w:pPr>
        <w:rPr>
          <w:rFonts w:ascii="Arial" w:hAnsi="Arial" w:cs="Arial"/>
          <w:sz w:val="24"/>
          <w:szCs w:val="24"/>
        </w:rPr>
      </w:pPr>
    </w:p>
    <w:p w14:paraId="6F2AB0E5" w14:textId="2AF107E1" w:rsidR="00996463" w:rsidRDefault="005F7EC7" w:rsidP="0023551A">
      <w:pPr>
        <w:pStyle w:val="Heading1"/>
      </w:pPr>
      <w:r>
        <w:t>Data on trust</w:t>
      </w:r>
    </w:p>
    <w:p w14:paraId="53D12E49" w14:textId="77777777" w:rsidR="00996463" w:rsidRDefault="005F7EC7" w:rsidP="008C69B4">
      <w:pPr>
        <w:spacing w:line="360" w:lineRule="auto"/>
        <w:rPr>
          <w:rFonts w:ascii="Arial" w:eastAsia="Arial" w:hAnsi="Arial" w:cs="Arial"/>
          <w:sz w:val="24"/>
          <w:szCs w:val="24"/>
        </w:rPr>
      </w:pPr>
      <w:r>
        <w:rPr>
          <w:rFonts w:ascii="Arial" w:eastAsia="Arial" w:hAnsi="Arial" w:cs="Arial"/>
          <w:sz w:val="24"/>
          <w:szCs w:val="24"/>
        </w:rPr>
        <w:t>Of particular relevance is the following data on trust.  In 2020, disabled people aged 18 to 64 compared to non-disabled people the same age are:</w:t>
      </w:r>
    </w:p>
    <w:p w14:paraId="1AE99258" w14:textId="77777777" w:rsidR="00996463" w:rsidRDefault="005F7EC7" w:rsidP="008C69B4">
      <w:pPr>
        <w:numPr>
          <w:ilvl w:val="0"/>
          <w:numId w:val="1"/>
        </w:numPr>
        <w:spacing w:line="360" w:lineRule="auto"/>
        <w:rPr>
          <w:rFonts w:ascii="Arial" w:eastAsia="Arial" w:hAnsi="Arial" w:cs="Arial"/>
          <w:sz w:val="24"/>
          <w:szCs w:val="24"/>
        </w:rPr>
      </w:pPr>
      <w:r>
        <w:rPr>
          <w:rFonts w:ascii="Arial" w:eastAsia="Arial" w:hAnsi="Arial" w:cs="Arial"/>
          <w:sz w:val="24"/>
          <w:szCs w:val="24"/>
        </w:rPr>
        <w:t>2.8 times more likely to have low trust in other people in New Zealand;</w:t>
      </w:r>
    </w:p>
    <w:p w14:paraId="0D9FFC0F" w14:textId="77777777" w:rsidR="00996463" w:rsidRDefault="005F7EC7" w:rsidP="008C69B4">
      <w:pPr>
        <w:numPr>
          <w:ilvl w:val="0"/>
          <w:numId w:val="1"/>
        </w:numPr>
        <w:spacing w:line="360" w:lineRule="auto"/>
        <w:rPr>
          <w:rFonts w:ascii="Arial" w:eastAsia="Arial" w:hAnsi="Arial" w:cs="Arial"/>
          <w:sz w:val="24"/>
          <w:szCs w:val="24"/>
        </w:rPr>
      </w:pPr>
      <w:r>
        <w:rPr>
          <w:rFonts w:ascii="Arial" w:eastAsia="Arial" w:hAnsi="Arial" w:cs="Arial"/>
          <w:sz w:val="24"/>
          <w:szCs w:val="24"/>
        </w:rPr>
        <w:t>3 times more likely to have low trust in the health system;</w:t>
      </w:r>
    </w:p>
    <w:p w14:paraId="4D9586DE" w14:textId="77777777" w:rsidR="00996463" w:rsidRDefault="005F7EC7" w:rsidP="008C69B4">
      <w:pPr>
        <w:numPr>
          <w:ilvl w:val="0"/>
          <w:numId w:val="1"/>
        </w:numPr>
        <w:spacing w:line="360" w:lineRule="auto"/>
        <w:rPr>
          <w:rFonts w:ascii="Arial" w:eastAsia="Arial" w:hAnsi="Arial" w:cs="Arial"/>
          <w:sz w:val="24"/>
          <w:szCs w:val="24"/>
        </w:rPr>
      </w:pPr>
      <w:r>
        <w:rPr>
          <w:rFonts w:ascii="Arial" w:eastAsia="Arial" w:hAnsi="Arial" w:cs="Arial"/>
          <w:sz w:val="24"/>
          <w:szCs w:val="24"/>
        </w:rPr>
        <w:t>1.8 times more likely to have low trust in Parliament;</w:t>
      </w:r>
    </w:p>
    <w:p w14:paraId="7C63CE0F" w14:textId="77777777" w:rsidR="00996463" w:rsidRDefault="005F7EC7" w:rsidP="008C69B4">
      <w:pPr>
        <w:numPr>
          <w:ilvl w:val="0"/>
          <w:numId w:val="1"/>
        </w:numPr>
        <w:spacing w:line="360" w:lineRule="auto"/>
        <w:rPr>
          <w:rFonts w:ascii="Arial" w:eastAsia="Arial" w:hAnsi="Arial" w:cs="Arial"/>
          <w:sz w:val="24"/>
          <w:szCs w:val="24"/>
        </w:rPr>
      </w:pPr>
      <w:r>
        <w:rPr>
          <w:rFonts w:ascii="Arial" w:eastAsia="Arial" w:hAnsi="Arial" w:cs="Arial"/>
          <w:sz w:val="24"/>
          <w:szCs w:val="24"/>
        </w:rPr>
        <w:t>3.7 times more likely to have low trust in the Police; and</w:t>
      </w:r>
    </w:p>
    <w:p w14:paraId="1BE5065E" w14:textId="5969A261" w:rsidR="00996463" w:rsidRDefault="005F7EC7" w:rsidP="008C69B4">
      <w:pPr>
        <w:numPr>
          <w:ilvl w:val="0"/>
          <w:numId w:val="1"/>
        </w:numPr>
        <w:spacing w:line="360" w:lineRule="auto"/>
        <w:rPr>
          <w:rFonts w:ascii="Arial" w:eastAsia="Arial" w:hAnsi="Arial" w:cs="Arial"/>
          <w:sz w:val="24"/>
          <w:szCs w:val="24"/>
        </w:rPr>
      </w:pPr>
      <w:r>
        <w:rPr>
          <w:rFonts w:ascii="Arial" w:eastAsia="Arial" w:hAnsi="Arial" w:cs="Arial"/>
          <w:sz w:val="24"/>
          <w:szCs w:val="24"/>
        </w:rPr>
        <w:t>1.4 times more likely to have low trust in the media.</w:t>
      </w:r>
    </w:p>
    <w:p w14:paraId="44873D9A" w14:textId="77777777" w:rsidR="0023551A" w:rsidRDefault="0023551A" w:rsidP="0023551A">
      <w:pPr>
        <w:spacing w:line="360" w:lineRule="auto"/>
        <w:rPr>
          <w:rFonts w:ascii="Arial" w:eastAsia="Arial" w:hAnsi="Arial" w:cs="Arial"/>
          <w:sz w:val="24"/>
          <w:szCs w:val="24"/>
        </w:rPr>
      </w:pPr>
    </w:p>
    <w:p w14:paraId="27B047AB" w14:textId="7D256199" w:rsidR="00A9239E" w:rsidRDefault="005F7EC7" w:rsidP="008C69B4">
      <w:pPr>
        <w:spacing w:line="360" w:lineRule="auto"/>
        <w:rPr>
          <w:rFonts w:ascii="Arial" w:eastAsia="Arial" w:hAnsi="Arial" w:cs="Arial"/>
          <w:sz w:val="24"/>
          <w:szCs w:val="24"/>
        </w:rPr>
      </w:pPr>
      <w:r>
        <w:rPr>
          <w:rFonts w:ascii="Arial" w:eastAsia="Arial" w:hAnsi="Arial" w:cs="Arial"/>
          <w:sz w:val="24"/>
          <w:szCs w:val="24"/>
        </w:rPr>
        <w:t>Low trust means a score of 0 to 4 on a scale where 0 is not trusted at all and 10 is trusted completely.</w:t>
      </w:r>
    </w:p>
    <w:p w14:paraId="1E1E19EE" w14:textId="77777777" w:rsidR="00BF27C6" w:rsidRDefault="00BF27C6" w:rsidP="008C69B4">
      <w:pPr>
        <w:spacing w:line="360" w:lineRule="auto"/>
        <w:rPr>
          <w:rFonts w:ascii="Arial" w:eastAsia="Arial" w:hAnsi="Arial" w:cs="Arial"/>
          <w:sz w:val="24"/>
          <w:szCs w:val="24"/>
        </w:rPr>
      </w:pPr>
    </w:p>
    <w:p w14:paraId="3908B868" w14:textId="03D56FF2" w:rsidR="0023551A" w:rsidRDefault="005F7EC7" w:rsidP="00BF27C6">
      <w:pPr>
        <w:spacing w:line="360" w:lineRule="auto"/>
        <w:rPr>
          <w:rFonts w:ascii="Arial" w:eastAsia="Arial" w:hAnsi="Arial" w:cs="Arial"/>
          <w:sz w:val="24"/>
          <w:szCs w:val="24"/>
        </w:rPr>
      </w:pPr>
      <w:r>
        <w:rPr>
          <w:rFonts w:ascii="Arial" w:eastAsia="Arial" w:hAnsi="Arial" w:cs="Arial"/>
          <w:sz w:val="24"/>
          <w:szCs w:val="24"/>
        </w:rPr>
        <w:t xml:space="preserve">The </w:t>
      </w:r>
      <w:r w:rsidR="0023551A">
        <w:rPr>
          <w:rFonts w:ascii="Arial" w:eastAsia="Arial" w:hAnsi="Arial" w:cs="Arial"/>
          <w:sz w:val="24"/>
          <w:szCs w:val="24"/>
        </w:rPr>
        <w:t>table</w:t>
      </w:r>
      <w:r>
        <w:rPr>
          <w:rFonts w:ascii="Arial" w:eastAsia="Arial" w:hAnsi="Arial" w:cs="Arial"/>
          <w:sz w:val="24"/>
          <w:szCs w:val="24"/>
        </w:rPr>
        <w:t xml:space="preserve"> below compares different demographic groups that are more likely to report low trust. Disabled people aged 18 to 64 are the demographic most likely to report low trust in the health system, people generally, and the police. </w:t>
      </w:r>
    </w:p>
    <w:p w14:paraId="2E343809" w14:textId="77777777" w:rsidR="00BF27C6" w:rsidRDefault="00BF27C6" w:rsidP="00BF27C6">
      <w:pPr>
        <w:spacing w:line="360" w:lineRule="auto"/>
        <w:rPr>
          <w:rFonts w:ascii="Arial" w:eastAsia="Arial" w:hAnsi="Arial" w:cs="Arial"/>
          <w:sz w:val="24"/>
          <w:szCs w:val="24"/>
        </w:rPr>
      </w:pPr>
    </w:p>
    <w:p w14:paraId="7D91DDF6" w14:textId="0EE557E0" w:rsidR="00996463" w:rsidRDefault="005F7EC7" w:rsidP="008C69B4">
      <w:pPr>
        <w:spacing w:line="360" w:lineRule="auto"/>
        <w:rPr>
          <w:rFonts w:ascii="Arial" w:eastAsia="Arial" w:hAnsi="Arial" w:cs="Arial"/>
          <w:sz w:val="24"/>
          <w:szCs w:val="24"/>
        </w:rPr>
      </w:pPr>
      <w:r>
        <w:rPr>
          <w:rFonts w:ascii="Arial" w:eastAsia="Arial" w:hAnsi="Arial" w:cs="Arial"/>
          <w:sz w:val="24"/>
          <w:szCs w:val="24"/>
        </w:rPr>
        <w:t>Of particular concern are the high rates of low trust reported by disabled people in the health system and the police. These rates indicate the need for significant work to be done in both sectors to improve awareness and understanding of disabled people.</w:t>
      </w:r>
      <w:r w:rsidR="00EE001F">
        <w:rPr>
          <w:rFonts w:ascii="Arial" w:eastAsia="Arial" w:hAnsi="Arial" w:cs="Arial"/>
          <w:sz w:val="24"/>
          <w:szCs w:val="24"/>
        </w:rPr>
        <w:t xml:space="preserve"> </w:t>
      </w:r>
      <w:r>
        <w:rPr>
          <w:rFonts w:ascii="Arial" w:eastAsia="Arial" w:hAnsi="Arial" w:cs="Arial"/>
          <w:sz w:val="24"/>
          <w:szCs w:val="24"/>
        </w:rPr>
        <w:t xml:space="preserve">The low trust reported by disabled people is also a reflection of the negative attitudes and bias that disabled people continue to experience from wider society. </w:t>
      </w:r>
    </w:p>
    <w:p w14:paraId="0F68EDCA" w14:textId="77777777" w:rsidR="00DE0534" w:rsidRDefault="00DE0534" w:rsidP="008C69B4">
      <w:pPr>
        <w:spacing w:line="360" w:lineRule="auto"/>
        <w:rPr>
          <w:rFonts w:ascii="Arial" w:eastAsia="Arial" w:hAnsi="Arial" w:cs="Arial"/>
          <w:sz w:val="24"/>
          <w:szCs w:val="24"/>
        </w:rPr>
      </w:pPr>
    </w:p>
    <w:p w14:paraId="6AE067EC" w14:textId="02F0ABE3" w:rsidR="00996463" w:rsidRDefault="00BF27C6" w:rsidP="008C69B4">
      <w:pPr>
        <w:spacing w:line="360" w:lineRule="auto"/>
        <w:rPr>
          <w:rFonts w:ascii="Arial" w:eastAsia="Arial" w:hAnsi="Arial" w:cs="Arial"/>
          <w:sz w:val="24"/>
          <w:szCs w:val="24"/>
        </w:rPr>
      </w:pPr>
      <w:bookmarkStart w:id="1" w:name="_ufglcggsp04t" w:colFirst="0" w:colLast="0"/>
      <w:bookmarkEnd w:id="1"/>
      <w:r>
        <w:rPr>
          <w:noProof/>
        </w:rPr>
        <w:drawing>
          <wp:inline distT="0" distB="0" distL="0" distR="0" wp14:anchorId="65FEE134" wp14:editId="50B7DA03">
            <wp:extent cx="6091200" cy="5151600"/>
            <wp:effectExtent l="0" t="0" r="5080" b="11430"/>
            <wp:docPr id="3" name="Chart 3">
              <a:extLst xmlns:a="http://schemas.openxmlformats.org/drawingml/2006/main">
                <a:ext uri="{FF2B5EF4-FFF2-40B4-BE49-F238E27FC236}">
                  <a16:creationId xmlns:a16="http://schemas.microsoft.com/office/drawing/2014/main" id="{9DBA175F-BBDE-4E0F-8ED0-76D238EB2B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8528EF" w14:textId="655E2F75" w:rsidR="00BF27C6" w:rsidRDefault="00BF27C6" w:rsidP="008C69B4">
      <w:pPr>
        <w:spacing w:line="360" w:lineRule="auto"/>
        <w:rPr>
          <w:rFonts w:ascii="Arial" w:eastAsia="Arial" w:hAnsi="Arial" w:cs="Arial"/>
          <w:sz w:val="24"/>
          <w:szCs w:val="24"/>
        </w:rPr>
      </w:pPr>
    </w:p>
    <w:p w14:paraId="694F78CA" w14:textId="2E3422E4" w:rsidR="004D0C4B" w:rsidRDefault="004D0C4B" w:rsidP="004D0C4B">
      <w:pPr>
        <w:pStyle w:val="Heading2"/>
      </w:pPr>
      <w:r>
        <w:t>Our recommendation</w:t>
      </w:r>
    </w:p>
    <w:p w14:paraId="4E645B63" w14:textId="462599B2" w:rsidR="004D0C4B" w:rsidRDefault="004D0C4B" w:rsidP="008C69B4">
      <w:pPr>
        <w:spacing w:line="360" w:lineRule="auto"/>
        <w:rPr>
          <w:rFonts w:ascii="Arial" w:eastAsia="Arial" w:hAnsi="Arial" w:cs="Arial"/>
          <w:sz w:val="24"/>
          <w:szCs w:val="24"/>
        </w:rPr>
      </w:pPr>
      <w:r>
        <w:rPr>
          <w:rFonts w:ascii="Arial" w:eastAsia="Arial" w:hAnsi="Arial" w:cs="Arial"/>
          <w:sz w:val="24"/>
          <w:szCs w:val="24"/>
        </w:rPr>
        <w:t>In our view, the first step is greater awareness of the low trust a sizable number of disabled people have in the police and the health system</w:t>
      </w:r>
      <w:r w:rsidR="00C027DA">
        <w:rPr>
          <w:rFonts w:ascii="Arial" w:eastAsia="Arial" w:hAnsi="Arial" w:cs="Arial"/>
          <w:sz w:val="24"/>
          <w:szCs w:val="24"/>
        </w:rPr>
        <w:t xml:space="preserve"> as well as in </w:t>
      </w:r>
      <w:r w:rsidR="00A727D3">
        <w:rPr>
          <w:rFonts w:ascii="Arial" w:eastAsia="Arial" w:hAnsi="Arial" w:cs="Arial"/>
          <w:sz w:val="24"/>
          <w:szCs w:val="24"/>
        </w:rPr>
        <w:t>the public</w:t>
      </w:r>
      <w:r>
        <w:rPr>
          <w:rFonts w:ascii="Arial" w:eastAsia="Arial" w:hAnsi="Arial" w:cs="Arial"/>
          <w:sz w:val="24"/>
          <w:szCs w:val="24"/>
        </w:rPr>
        <w:t xml:space="preserve">. As a Member of Parliament, you </w:t>
      </w:r>
      <w:r w:rsidR="00C027DA">
        <w:rPr>
          <w:rFonts w:ascii="Arial" w:eastAsia="Arial" w:hAnsi="Arial" w:cs="Arial"/>
          <w:sz w:val="24"/>
          <w:szCs w:val="24"/>
        </w:rPr>
        <w:t xml:space="preserve">can </w:t>
      </w:r>
      <w:r w:rsidR="00177256">
        <w:rPr>
          <w:rFonts w:ascii="Arial" w:eastAsia="Arial" w:hAnsi="Arial" w:cs="Arial"/>
          <w:sz w:val="24"/>
          <w:szCs w:val="24"/>
        </w:rPr>
        <w:t xml:space="preserve">help </w:t>
      </w:r>
      <w:r w:rsidR="00C027DA">
        <w:rPr>
          <w:rFonts w:ascii="Arial" w:eastAsia="Arial" w:hAnsi="Arial" w:cs="Arial"/>
          <w:sz w:val="24"/>
          <w:szCs w:val="24"/>
        </w:rPr>
        <w:t xml:space="preserve">ensure disabled people are </w:t>
      </w:r>
      <w:r w:rsidR="00A04304">
        <w:rPr>
          <w:rFonts w:ascii="Arial" w:eastAsia="Arial" w:hAnsi="Arial" w:cs="Arial"/>
          <w:sz w:val="24"/>
          <w:szCs w:val="24"/>
        </w:rPr>
        <w:t xml:space="preserve">a key </w:t>
      </w:r>
      <w:r w:rsidR="008120D7">
        <w:rPr>
          <w:rFonts w:ascii="Arial" w:eastAsia="Arial" w:hAnsi="Arial" w:cs="Arial"/>
          <w:sz w:val="24"/>
          <w:szCs w:val="24"/>
        </w:rPr>
        <w:t xml:space="preserve">group </w:t>
      </w:r>
      <w:r w:rsidR="00D10FD2">
        <w:rPr>
          <w:rFonts w:ascii="Arial" w:eastAsia="Arial" w:hAnsi="Arial" w:cs="Arial"/>
          <w:sz w:val="24"/>
          <w:szCs w:val="24"/>
        </w:rPr>
        <w:t xml:space="preserve">that has to be </w:t>
      </w:r>
      <w:r w:rsidR="008120D7">
        <w:rPr>
          <w:rFonts w:ascii="Arial" w:eastAsia="Arial" w:hAnsi="Arial" w:cs="Arial"/>
          <w:sz w:val="24"/>
          <w:szCs w:val="24"/>
        </w:rPr>
        <w:t>considered</w:t>
      </w:r>
      <w:r w:rsidR="00A04304">
        <w:rPr>
          <w:rFonts w:ascii="Arial" w:eastAsia="Arial" w:hAnsi="Arial" w:cs="Arial"/>
          <w:sz w:val="24"/>
          <w:szCs w:val="24"/>
        </w:rPr>
        <w:t xml:space="preserve"> </w:t>
      </w:r>
      <w:r w:rsidR="00C027DA">
        <w:rPr>
          <w:rFonts w:ascii="Arial" w:eastAsia="Arial" w:hAnsi="Arial" w:cs="Arial"/>
          <w:sz w:val="24"/>
          <w:szCs w:val="24"/>
        </w:rPr>
        <w:t>with</w:t>
      </w:r>
      <w:r w:rsidR="008120D7">
        <w:rPr>
          <w:rFonts w:ascii="Arial" w:eastAsia="Arial" w:hAnsi="Arial" w:cs="Arial"/>
          <w:sz w:val="24"/>
          <w:szCs w:val="24"/>
        </w:rPr>
        <w:t xml:space="preserve"> any</w:t>
      </w:r>
      <w:r w:rsidR="00C027DA">
        <w:rPr>
          <w:rFonts w:ascii="Arial" w:eastAsia="Arial" w:hAnsi="Arial" w:cs="Arial"/>
          <w:sz w:val="24"/>
          <w:szCs w:val="24"/>
        </w:rPr>
        <w:t xml:space="preserve"> reforms and</w:t>
      </w:r>
      <w:r w:rsidR="008120D7">
        <w:rPr>
          <w:rFonts w:ascii="Arial" w:eastAsia="Arial" w:hAnsi="Arial" w:cs="Arial"/>
          <w:sz w:val="24"/>
          <w:szCs w:val="24"/>
        </w:rPr>
        <w:t>/or</w:t>
      </w:r>
      <w:r w:rsidR="00C027DA">
        <w:rPr>
          <w:rFonts w:ascii="Arial" w:eastAsia="Arial" w:hAnsi="Arial" w:cs="Arial"/>
          <w:sz w:val="24"/>
          <w:szCs w:val="24"/>
        </w:rPr>
        <w:t xml:space="preserve"> changes</w:t>
      </w:r>
      <w:r w:rsidR="00177256">
        <w:rPr>
          <w:rFonts w:ascii="Arial" w:eastAsia="Arial" w:hAnsi="Arial" w:cs="Arial"/>
          <w:sz w:val="24"/>
          <w:szCs w:val="24"/>
        </w:rPr>
        <w:t xml:space="preserve">, </w:t>
      </w:r>
      <w:r w:rsidR="00A727D3">
        <w:rPr>
          <w:rFonts w:ascii="Arial" w:eastAsia="Arial" w:hAnsi="Arial" w:cs="Arial"/>
          <w:sz w:val="24"/>
          <w:szCs w:val="24"/>
        </w:rPr>
        <w:t xml:space="preserve">especially with the police and the </w:t>
      </w:r>
      <w:r w:rsidR="00014AD3">
        <w:rPr>
          <w:rFonts w:ascii="Arial" w:eastAsia="Arial" w:hAnsi="Arial" w:cs="Arial"/>
          <w:sz w:val="24"/>
          <w:szCs w:val="24"/>
        </w:rPr>
        <w:t>health system.</w:t>
      </w:r>
    </w:p>
    <w:p w14:paraId="4C6F131A" w14:textId="6B465ED3" w:rsidR="00996463" w:rsidRPr="00CB6BB2" w:rsidRDefault="00996463" w:rsidP="008C69B4">
      <w:pPr>
        <w:spacing w:line="360" w:lineRule="auto"/>
        <w:rPr>
          <w:rFonts w:ascii="Arial" w:eastAsia="Arial" w:hAnsi="Arial" w:cs="Arial"/>
          <w:b/>
          <w:bCs/>
          <w:sz w:val="24"/>
          <w:szCs w:val="24"/>
        </w:rPr>
      </w:pPr>
      <w:bookmarkStart w:id="2" w:name="_h2bupy53f43o" w:colFirst="0" w:colLast="0"/>
      <w:bookmarkEnd w:id="2"/>
    </w:p>
    <w:p w14:paraId="5C3CB5DE" w14:textId="77777777" w:rsidR="00996463" w:rsidRPr="00D6041B" w:rsidRDefault="005F7EC7" w:rsidP="0023551A">
      <w:pPr>
        <w:pStyle w:val="Heading1"/>
        <w:rPr>
          <w:sz w:val="28"/>
          <w:szCs w:val="28"/>
        </w:rPr>
      </w:pPr>
      <w:bookmarkStart w:id="3" w:name="_tg5xjwg7sc91" w:colFirst="0" w:colLast="0"/>
      <w:bookmarkEnd w:id="3"/>
      <w:r w:rsidRPr="00D6041B">
        <w:rPr>
          <w:sz w:val="28"/>
          <w:szCs w:val="28"/>
        </w:rPr>
        <w:t>Background</w:t>
      </w:r>
    </w:p>
    <w:p w14:paraId="0D4B0F81" w14:textId="65B52CCF" w:rsidR="00C84833" w:rsidRDefault="00C84833" w:rsidP="00C84833">
      <w:pPr>
        <w:pStyle w:val="Heading2"/>
      </w:pPr>
      <w:bookmarkStart w:id="4" w:name="_eb7ple98g51q" w:colFirst="0" w:colLast="0"/>
      <w:bookmarkEnd w:id="4"/>
      <w:r>
        <w:t xml:space="preserve">About </w:t>
      </w:r>
      <w:r w:rsidRPr="00C84833">
        <w:t>Disabled Persons Assembly NZ</w:t>
      </w:r>
    </w:p>
    <w:p w14:paraId="442FB3F2" w14:textId="3D6944E1" w:rsidR="00C84833" w:rsidRPr="00C84833" w:rsidRDefault="00C84833" w:rsidP="00C84833">
      <w:pPr>
        <w:spacing w:line="360" w:lineRule="auto"/>
        <w:rPr>
          <w:rFonts w:ascii="Arial" w:eastAsia="Arial" w:hAnsi="Arial" w:cs="Arial"/>
          <w:sz w:val="24"/>
          <w:szCs w:val="24"/>
        </w:rPr>
      </w:pPr>
      <w:r w:rsidRPr="00C84833">
        <w:rPr>
          <w:rFonts w:ascii="Arial" w:eastAsia="Arial" w:hAnsi="Arial" w:cs="Arial"/>
          <w:sz w:val="24"/>
          <w:szCs w:val="24"/>
        </w:rPr>
        <w:t xml:space="preserve">The Disabled Persons Assembly NZ (DPA) is </w:t>
      </w:r>
      <w:r w:rsidR="00B70E34" w:rsidRPr="00B70E34">
        <w:rPr>
          <w:rFonts w:ascii="Arial" w:eastAsia="Arial" w:hAnsi="Arial" w:cs="Arial"/>
          <w:sz w:val="24"/>
          <w:szCs w:val="24"/>
        </w:rPr>
        <w:t xml:space="preserve">New Zealand’s pan-impairment </w:t>
      </w:r>
      <w:r w:rsidRPr="00C84833">
        <w:rPr>
          <w:rFonts w:ascii="Arial" w:eastAsia="Arial" w:hAnsi="Arial" w:cs="Arial"/>
          <w:sz w:val="24"/>
          <w:szCs w:val="24"/>
        </w:rPr>
        <w:t>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75173370" w14:textId="77777777" w:rsidR="00C84833" w:rsidRPr="00C84833" w:rsidRDefault="00C84833" w:rsidP="00C84833">
      <w:pPr>
        <w:pStyle w:val="ListParagraph"/>
        <w:numPr>
          <w:ilvl w:val="0"/>
          <w:numId w:val="4"/>
        </w:numPr>
        <w:rPr>
          <w:rFonts w:eastAsia="Arial" w:cs="Arial"/>
        </w:rPr>
      </w:pPr>
      <w:r w:rsidRPr="00C84833">
        <w:rPr>
          <w:rFonts w:eastAsia="Arial" w:cs="Arial"/>
        </w:rPr>
        <w:t>telling our stories and identifying systemic barriers</w:t>
      </w:r>
    </w:p>
    <w:p w14:paraId="161D3871" w14:textId="77777777" w:rsidR="00C84833" w:rsidRPr="00C84833" w:rsidRDefault="00C84833" w:rsidP="00C84833">
      <w:pPr>
        <w:pStyle w:val="ListParagraph"/>
        <w:numPr>
          <w:ilvl w:val="0"/>
          <w:numId w:val="4"/>
        </w:numPr>
        <w:rPr>
          <w:rFonts w:eastAsia="Arial" w:cs="Arial"/>
        </w:rPr>
      </w:pPr>
      <w:r w:rsidRPr="00C84833">
        <w:rPr>
          <w:rFonts w:eastAsia="Arial" w:cs="Arial"/>
        </w:rPr>
        <w:t>developing and advocating for solutions</w:t>
      </w:r>
    </w:p>
    <w:p w14:paraId="7A0AF820" w14:textId="77777777" w:rsidR="00C84833" w:rsidRDefault="00C84833" w:rsidP="00C84833">
      <w:pPr>
        <w:pStyle w:val="ListParagraph"/>
        <w:numPr>
          <w:ilvl w:val="0"/>
          <w:numId w:val="4"/>
        </w:numPr>
        <w:rPr>
          <w:rFonts w:eastAsia="Arial" w:cs="Arial"/>
        </w:rPr>
      </w:pPr>
      <w:r w:rsidRPr="00C84833">
        <w:rPr>
          <w:rFonts w:eastAsia="Arial" w:cs="Arial"/>
        </w:rPr>
        <w:t>celebrating innovation and good practice</w:t>
      </w:r>
    </w:p>
    <w:p w14:paraId="0C0C917B" w14:textId="5935D0A8" w:rsidR="00C84833" w:rsidRDefault="00C84833" w:rsidP="00C84833"/>
    <w:p w14:paraId="0092A6FC" w14:textId="662A0E69" w:rsidR="00C84833" w:rsidRDefault="00C84833" w:rsidP="00C84833">
      <w:pPr>
        <w:pStyle w:val="Heading2"/>
      </w:pPr>
      <w:r>
        <w:t>About CCS Disability Action</w:t>
      </w:r>
    </w:p>
    <w:p w14:paraId="71CCCD0D" w14:textId="77777777" w:rsidR="00C84833" w:rsidRDefault="00C84833" w:rsidP="00C84833">
      <w:pPr>
        <w:spacing w:before="60" w:line="360" w:lineRule="auto"/>
        <w:rPr>
          <w:rFonts w:ascii="Arial" w:hAnsi="Arial" w:cs="Arial"/>
          <w:sz w:val="24"/>
          <w:szCs w:val="24"/>
        </w:rPr>
      </w:pPr>
      <w:r w:rsidRPr="00F1403E">
        <w:rPr>
          <w:rFonts w:ascii="Arial" w:hAnsi="Arial" w:cs="Arial"/>
          <w:sz w:val="24"/>
          <w:szCs w:val="24"/>
        </w:rPr>
        <w:t>CCS Disability Action is a</w:t>
      </w:r>
      <w:r>
        <w:rPr>
          <w:rFonts w:ascii="Arial" w:hAnsi="Arial" w:cs="Arial"/>
          <w:sz w:val="24"/>
          <w:szCs w:val="24"/>
        </w:rPr>
        <w:t xml:space="preserve"> New Zealand Aotearoa</w:t>
      </w:r>
      <w:r w:rsidRPr="00F1403E">
        <w:rPr>
          <w:rFonts w:ascii="Arial" w:hAnsi="Arial" w:cs="Arial"/>
          <w:sz w:val="24"/>
          <w:szCs w:val="24"/>
        </w:rPr>
        <w:t xml:space="preserve"> </w:t>
      </w:r>
      <w:r>
        <w:rPr>
          <w:rFonts w:ascii="Arial" w:hAnsi="Arial" w:cs="Arial"/>
          <w:sz w:val="24"/>
          <w:szCs w:val="24"/>
        </w:rPr>
        <w:t>non-government</w:t>
      </w:r>
      <w:r w:rsidRPr="00F1403E">
        <w:rPr>
          <w:rFonts w:ascii="Arial" w:hAnsi="Arial" w:cs="Arial"/>
          <w:sz w:val="24"/>
          <w:szCs w:val="24"/>
        </w:rPr>
        <w:t xml:space="preserve"> organisation that has been advocating for disabled people to be included in the community since 1935. We provide direct support to approximately 5,000 children, young </w:t>
      </w:r>
      <w:proofErr w:type="gramStart"/>
      <w:r w:rsidRPr="00F1403E">
        <w:rPr>
          <w:rFonts w:ascii="Arial" w:hAnsi="Arial" w:cs="Arial"/>
          <w:sz w:val="24"/>
          <w:szCs w:val="24"/>
        </w:rPr>
        <w:t>people</w:t>
      </w:r>
      <w:proofErr w:type="gramEnd"/>
      <w:r w:rsidRPr="00F1403E">
        <w:rPr>
          <w:rFonts w:ascii="Arial" w:hAnsi="Arial" w:cs="Arial"/>
          <w:sz w:val="24"/>
          <w:szCs w:val="24"/>
        </w:rPr>
        <w:t xml:space="preserve"> and adults through our 18 branches, which operate from Northland to Invercargill. Our support focuses on breaking down barriers to participation. We receive a mixture of government and private funding.</w:t>
      </w:r>
      <w:r>
        <w:rPr>
          <w:rFonts w:ascii="Arial" w:hAnsi="Arial" w:cs="Arial"/>
          <w:sz w:val="24"/>
          <w:szCs w:val="24"/>
        </w:rPr>
        <w:t xml:space="preserve"> Upholding the rights of children is core to our work. </w:t>
      </w:r>
    </w:p>
    <w:p w14:paraId="1D707DE8" w14:textId="77777777" w:rsidR="00C84833" w:rsidRDefault="00C84833" w:rsidP="00C84833"/>
    <w:p w14:paraId="2019F54B" w14:textId="203B491C" w:rsidR="00996463" w:rsidRDefault="005F7EC7" w:rsidP="0023551A">
      <w:pPr>
        <w:pStyle w:val="Heading2"/>
      </w:pPr>
      <w:r>
        <w:t>About the data</w:t>
      </w:r>
    </w:p>
    <w:p w14:paraId="1EE40A73" w14:textId="739EC598" w:rsidR="00996463" w:rsidRDefault="005F7EC7" w:rsidP="008C69B4">
      <w:pPr>
        <w:spacing w:line="360" w:lineRule="auto"/>
        <w:rPr>
          <w:rFonts w:ascii="Arial" w:eastAsia="Arial" w:hAnsi="Arial" w:cs="Arial"/>
          <w:sz w:val="24"/>
          <w:szCs w:val="24"/>
        </w:rPr>
      </w:pPr>
      <w:r>
        <w:rPr>
          <w:rFonts w:ascii="Arial" w:eastAsia="Arial" w:hAnsi="Arial" w:cs="Arial"/>
          <w:sz w:val="24"/>
          <w:szCs w:val="24"/>
        </w:rPr>
        <w:t xml:space="preserve">This data is from a wellbeing supplement added to the Household Labour Force Survey in the June 2020 quarter. The supplement included a selection of questions from the </w:t>
      </w:r>
      <w:r w:rsidR="00160858">
        <w:rPr>
          <w:rFonts w:ascii="Arial" w:eastAsia="Arial" w:hAnsi="Arial" w:cs="Arial"/>
          <w:sz w:val="24"/>
          <w:szCs w:val="24"/>
        </w:rPr>
        <w:t>G</w:t>
      </w:r>
      <w:r>
        <w:rPr>
          <w:rFonts w:ascii="Arial" w:eastAsia="Arial" w:hAnsi="Arial" w:cs="Arial"/>
          <w:sz w:val="24"/>
          <w:szCs w:val="24"/>
        </w:rPr>
        <w:t xml:space="preserve">eneral </w:t>
      </w:r>
      <w:r w:rsidR="00160858">
        <w:rPr>
          <w:rFonts w:ascii="Arial" w:eastAsia="Arial" w:hAnsi="Arial" w:cs="Arial"/>
          <w:sz w:val="24"/>
          <w:szCs w:val="24"/>
        </w:rPr>
        <w:t>S</w:t>
      </w:r>
      <w:r>
        <w:rPr>
          <w:rFonts w:ascii="Arial" w:eastAsia="Arial" w:hAnsi="Arial" w:cs="Arial"/>
          <w:sz w:val="24"/>
          <w:szCs w:val="24"/>
        </w:rPr>
        <w:t xml:space="preserve">ocial </w:t>
      </w:r>
      <w:r w:rsidR="00160858">
        <w:rPr>
          <w:rFonts w:ascii="Arial" w:eastAsia="Arial" w:hAnsi="Arial" w:cs="Arial"/>
          <w:sz w:val="24"/>
          <w:szCs w:val="24"/>
        </w:rPr>
        <w:t>S</w:t>
      </w:r>
      <w:r>
        <w:rPr>
          <w:rFonts w:ascii="Arial" w:eastAsia="Arial" w:hAnsi="Arial" w:cs="Arial"/>
          <w:sz w:val="24"/>
          <w:szCs w:val="24"/>
        </w:rPr>
        <w:t xml:space="preserve">urvey. Statistics New Zealand </w:t>
      </w:r>
      <w:r w:rsidR="00593688">
        <w:rPr>
          <w:rFonts w:ascii="Arial" w:eastAsia="Arial" w:hAnsi="Arial" w:cs="Arial"/>
          <w:sz w:val="24"/>
          <w:szCs w:val="24"/>
        </w:rPr>
        <w:t>recommends</w:t>
      </w:r>
      <w:r>
        <w:rPr>
          <w:rFonts w:ascii="Arial" w:eastAsia="Arial" w:hAnsi="Arial" w:cs="Arial"/>
          <w:sz w:val="24"/>
          <w:szCs w:val="24"/>
        </w:rPr>
        <w:t xml:space="preserve"> </w:t>
      </w:r>
      <w:r w:rsidR="00593688">
        <w:rPr>
          <w:rFonts w:ascii="Arial" w:eastAsia="Arial" w:hAnsi="Arial" w:cs="Arial"/>
          <w:sz w:val="24"/>
          <w:szCs w:val="24"/>
        </w:rPr>
        <w:t>being</w:t>
      </w:r>
      <w:r>
        <w:rPr>
          <w:rFonts w:ascii="Arial" w:eastAsia="Arial" w:hAnsi="Arial" w:cs="Arial"/>
          <w:sz w:val="24"/>
          <w:szCs w:val="24"/>
        </w:rPr>
        <w:t xml:space="preserve"> careful when comparing this data to the General Social Survey. This is because there are differences between the two surveys. You can read more about this here:</w:t>
      </w:r>
    </w:p>
    <w:p w14:paraId="2D0F3F79" w14:textId="77777777" w:rsidR="0023551A" w:rsidRDefault="0023551A" w:rsidP="008C69B4">
      <w:pPr>
        <w:spacing w:line="360" w:lineRule="auto"/>
        <w:rPr>
          <w:rFonts w:ascii="Arial" w:eastAsia="Arial" w:hAnsi="Arial" w:cs="Arial"/>
          <w:sz w:val="24"/>
          <w:szCs w:val="24"/>
        </w:rPr>
      </w:pPr>
    </w:p>
    <w:p w14:paraId="2D71AD34" w14:textId="1D70FF3B" w:rsidR="00996463" w:rsidRDefault="009D153D" w:rsidP="008C69B4">
      <w:pPr>
        <w:spacing w:line="360" w:lineRule="auto"/>
        <w:rPr>
          <w:rFonts w:ascii="Arial" w:eastAsia="Arial" w:hAnsi="Arial" w:cs="Arial"/>
          <w:sz w:val="24"/>
          <w:szCs w:val="24"/>
        </w:rPr>
      </w:pPr>
      <w:hyperlink r:id="rId14" w:anchor="about">
        <w:r w:rsidR="005F7EC7">
          <w:rPr>
            <w:rFonts w:ascii="Arial" w:eastAsia="Arial" w:hAnsi="Arial" w:cs="Arial"/>
            <w:color w:val="1155CC"/>
            <w:sz w:val="24"/>
            <w:szCs w:val="24"/>
            <w:u w:val="single"/>
          </w:rPr>
          <w:t>https://www.stats.govt.nz/information-releases/wellbeing-statistics-june-2020-quarter#about</w:t>
        </w:r>
      </w:hyperlink>
      <w:r w:rsidR="005F7EC7">
        <w:rPr>
          <w:rFonts w:ascii="Arial" w:eastAsia="Arial" w:hAnsi="Arial" w:cs="Arial"/>
          <w:sz w:val="24"/>
          <w:szCs w:val="24"/>
        </w:rPr>
        <w:t xml:space="preserve"> </w:t>
      </w:r>
    </w:p>
    <w:p w14:paraId="12FC4990" w14:textId="77777777" w:rsidR="0023551A" w:rsidRDefault="0023551A" w:rsidP="008C69B4">
      <w:pPr>
        <w:spacing w:line="360" w:lineRule="auto"/>
        <w:rPr>
          <w:rFonts w:ascii="Arial" w:eastAsia="Arial" w:hAnsi="Arial" w:cs="Arial"/>
          <w:sz w:val="24"/>
          <w:szCs w:val="24"/>
        </w:rPr>
      </w:pPr>
    </w:p>
    <w:p w14:paraId="7D0E6C0B" w14:textId="3D02C41F" w:rsidR="00996463" w:rsidRDefault="005F7EC7" w:rsidP="008C69B4">
      <w:pPr>
        <w:spacing w:line="360" w:lineRule="auto"/>
        <w:rPr>
          <w:rFonts w:ascii="Arial" w:eastAsia="Arial" w:hAnsi="Arial" w:cs="Arial"/>
          <w:sz w:val="24"/>
          <w:szCs w:val="24"/>
        </w:rPr>
      </w:pPr>
      <w:r>
        <w:rPr>
          <w:rFonts w:ascii="Arial" w:eastAsia="Arial" w:hAnsi="Arial" w:cs="Arial"/>
          <w:sz w:val="24"/>
          <w:szCs w:val="24"/>
        </w:rPr>
        <w:t xml:space="preserve">In addition to the points in the link above, the age ranges we have data on are also slightly different. The General Social Survey data is on disabled people and non-disabled people aged 15 to 64, not 18 to 64. That should not make </w:t>
      </w:r>
      <w:r w:rsidR="00593688">
        <w:rPr>
          <w:rFonts w:ascii="Arial" w:eastAsia="Arial" w:hAnsi="Arial" w:cs="Arial"/>
          <w:sz w:val="24"/>
          <w:szCs w:val="24"/>
        </w:rPr>
        <w:t>a dramatic difference</w:t>
      </w:r>
      <w:r>
        <w:rPr>
          <w:rFonts w:ascii="Arial" w:eastAsia="Arial" w:hAnsi="Arial" w:cs="Arial"/>
          <w:sz w:val="24"/>
          <w:szCs w:val="24"/>
        </w:rPr>
        <w:t xml:space="preserve"> though as the disability status questions used for both surveys collect very little data from disabled people aged 15 to 18.</w:t>
      </w:r>
    </w:p>
    <w:p w14:paraId="2E2AB7D3" w14:textId="37DAD5F8" w:rsidR="0023551A" w:rsidRDefault="0023551A" w:rsidP="008C69B4">
      <w:pPr>
        <w:spacing w:line="360" w:lineRule="auto"/>
        <w:rPr>
          <w:rFonts w:ascii="Arial" w:eastAsia="Arial" w:hAnsi="Arial" w:cs="Arial"/>
          <w:sz w:val="24"/>
          <w:szCs w:val="24"/>
        </w:rPr>
      </w:pPr>
    </w:p>
    <w:p w14:paraId="614F6D66" w14:textId="76DAD18D" w:rsidR="0023551A" w:rsidRDefault="0023551A" w:rsidP="0023551A">
      <w:pPr>
        <w:pStyle w:val="Heading2"/>
      </w:pPr>
      <w:r>
        <w:t>Absolute sampling error</w:t>
      </w:r>
    </w:p>
    <w:p w14:paraId="6607552D" w14:textId="1441344C" w:rsidR="006F317D" w:rsidRDefault="00D44128" w:rsidP="008C69B4">
      <w:pPr>
        <w:spacing w:line="360" w:lineRule="auto"/>
        <w:rPr>
          <w:rFonts w:ascii="Arial" w:eastAsia="Arial" w:hAnsi="Arial" w:cs="Arial"/>
          <w:sz w:val="24"/>
          <w:szCs w:val="24"/>
        </w:rPr>
      </w:pPr>
      <w:r>
        <w:rPr>
          <w:rFonts w:ascii="Arial" w:eastAsia="Arial" w:hAnsi="Arial" w:cs="Arial"/>
          <w:sz w:val="24"/>
          <w:szCs w:val="24"/>
        </w:rPr>
        <w:t xml:space="preserve">The black </w:t>
      </w:r>
      <w:r w:rsidR="00693E87">
        <w:rPr>
          <w:rFonts w:ascii="Arial" w:eastAsia="Arial" w:hAnsi="Arial" w:cs="Arial"/>
          <w:sz w:val="24"/>
          <w:szCs w:val="24"/>
        </w:rPr>
        <w:t xml:space="preserve">error </w:t>
      </w:r>
      <w:r>
        <w:rPr>
          <w:rFonts w:ascii="Arial" w:eastAsia="Arial" w:hAnsi="Arial" w:cs="Arial"/>
          <w:sz w:val="24"/>
          <w:szCs w:val="24"/>
        </w:rPr>
        <w:t xml:space="preserve">bars in </w:t>
      </w:r>
      <w:r w:rsidR="00693E87">
        <w:rPr>
          <w:rFonts w:ascii="Arial" w:eastAsia="Arial" w:hAnsi="Arial" w:cs="Arial"/>
          <w:sz w:val="24"/>
          <w:szCs w:val="24"/>
        </w:rPr>
        <w:t>the first and third</w:t>
      </w:r>
      <w:r>
        <w:rPr>
          <w:rFonts w:ascii="Arial" w:eastAsia="Arial" w:hAnsi="Arial" w:cs="Arial"/>
          <w:sz w:val="24"/>
          <w:szCs w:val="24"/>
        </w:rPr>
        <w:t xml:space="preserve"> graphs represent the absolute sampling error. </w:t>
      </w:r>
      <w:r w:rsidR="0023551A">
        <w:rPr>
          <w:rFonts w:ascii="Arial" w:eastAsia="Arial" w:hAnsi="Arial" w:cs="Arial"/>
          <w:sz w:val="24"/>
          <w:szCs w:val="24"/>
        </w:rPr>
        <w:t>Th</w:t>
      </w:r>
      <w:r>
        <w:rPr>
          <w:rFonts w:ascii="Arial" w:eastAsia="Arial" w:hAnsi="Arial" w:cs="Arial"/>
          <w:sz w:val="24"/>
          <w:szCs w:val="24"/>
        </w:rPr>
        <w:t>e data in those graphs</w:t>
      </w:r>
      <w:r w:rsidR="0023551A">
        <w:rPr>
          <w:rFonts w:ascii="Arial" w:eastAsia="Arial" w:hAnsi="Arial" w:cs="Arial"/>
          <w:sz w:val="24"/>
          <w:szCs w:val="24"/>
        </w:rPr>
        <w:t xml:space="preserve"> comes from surveys. Because surveys only sample a </w:t>
      </w:r>
      <w:r w:rsidR="00BC7977" w:rsidRPr="00BC7977">
        <w:rPr>
          <w:rFonts w:ascii="Arial" w:eastAsia="Arial" w:hAnsi="Arial" w:cs="Arial"/>
          <w:sz w:val="24"/>
          <w:szCs w:val="24"/>
        </w:rPr>
        <w:t>fraction</w:t>
      </w:r>
      <w:r w:rsidR="0023551A">
        <w:rPr>
          <w:rFonts w:ascii="Arial" w:eastAsia="Arial" w:hAnsi="Arial" w:cs="Arial"/>
          <w:sz w:val="24"/>
          <w:szCs w:val="24"/>
        </w:rPr>
        <w:t xml:space="preserve"> of the population, they are estimates. </w:t>
      </w:r>
      <w:r w:rsidR="006F317D">
        <w:rPr>
          <w:rFonts w:ascii="Arial" w:eastAsia="Arial" w:hAnsi="Arial" w:cs="Arial"/>
          <w:sz w:val="24"/>
          <w:szCs w:val="24"/>
        </w:rPr>
        <w:t>The accuracy of these estimates depends on the number of</w:t>
      </w:r>
      <w:r w:rsidR="0023551A">
        <w:rPr>
          <w:rFonts w:ascii="Arial" w:eastAsia="Arial" w:hAnsi="Arial" w:cs="Arial"/>
          <w:sz w:val="24"/>
          <w:szCs w:val="24"/>
        </w:rPr>
        <w:t xml:space="preserve"> people in each group </w:t>
      </w:r>
      <w:r w:rsidR="000A338B">
        <w:rPr>
          <w:rFonts w:ascii="Arial" w:eastAsia="Arial" w:hAnsi="Arial" w:cs="Arial"/>
          <w:sz w:val="24"/>
          <w:szCs w:val="24"/>
        </w:rPr>
        <w:t>who answer</w:t>
      </w:r>
      <w:r w:rsidR="00DB2917">
        <w:rPr>
          <w:rFonts w:ascii="Arial" w:eastAsia="Arial" w:hAnsi="Arial" w:cs="Arial"/>
          <w:sz w:val="24"/>
          <w:szCs w:val="24"/>
        </w:rPr>
        <w:t>ed</w:t>
      </w:r>
      <w:r w:rsidR="000A338B">
        <w:rPr>
          <w:rFonts w:ascii="Arial" w:eastAsia="Arial" w:hAnsi="Arial" w:cs="Arial"/>
          <w:sz w:val="24"/>
          <w:szCs w:val="24"/>
        </w:rPr>
        <w:t xml:space="preserve"> a question.</w:t>
      </w:r>
      <w:r w:rsidR="006F317D">
        <w:rPr>
          <w:rFonts w:ascii="Arial" w:eastAsia="Arial" w:hAnsi="Arial" w:cs="Arial"/>
          <w:sz w:val="24"/>
          <w:szCs w:val="24"/>
        </w:rPr>
        <w:t xml:space="preserve"> For example, if only 10 people in a certain group </w:t>
      </w:r>
      <w:r w:rsidR="008B10DA">
        <w:rPr>
          <w:rFonts w:ascii="Arial" w:eastAsia="Arial" w:hAnsi="Arial" w:cs="Arial"/>
          <w:sz w:val="24"/>
          <w:szCs w:val="24"/>
        </w:rPr>
        <w:t>answered</w:t>
      </w:r>
      <w:r w:rsidR="006F317D">
        <w:rPr>
          <w:rFonts w:ascii="Arial" w:eastAsia="Arial" w:hAnsi="Arial" w:cs="Arial"/>
          <w:sz w:val="24"/>
          <w:szCs w:val="24"/>
        </w:rPr>
        <w:t xml:space="preserve"> a question, that estimate would not be very accurate. Absolute sampling error is one way of measuring how accurate an estimate is. </w:t>
      </w:r>
      <w:r w:rsidR="00EC5CE9">
        <w:rPr>
          <w:rFonts w:ascii="Arial" w:eastAsia="Arial" w:hAnsi="Arial" w:cs="Arial"/>
          <w:sz w:val="24"/>
          <w:szCs w:val="24"/>
        </w:rPr>
        <w:t>It calculates</w:t>
      </w:r>
      <w:r w:rsidR="007508A3">
        <w:rPr>
          <w:rFonts w:ascii="Arial" w:eastAsia="Arial" w:hAnsi="Arial" w:cs="Arial"/>
          <w:sz w:val="24"/>
          <w:szCs w:val="24"/>
        </w:rPr>
        <w:t xml:space="preserve"> with</w:t>
      </w:r>
      <w:r w:rsidR="000A338B">
        <w:rPr>
          <w:rFonts w:ascii="Arial" w:eastAsia="Arial" w:hAnsi="Arial" w:cs="Arial"/>
          <w:sz w:val="24"/>
          <w:szCs w:val="24"/>
        </w:rPr>
        <w:t>in</w:t>
      </w:r>
      <w:r w:rsidR="007508A3">
        <w:rPr>
          <w:rFonts w:ascii="Arial" w:eastAsia="Arial" w:hAnsi="Arial" w:cs="Arial"/>
          <w:sz w:val="24"/>
          <w:szCs w:val="24"/>
        </w:rPr>
        <w:t xml:space="preserve"> a 95% probability what range the true value is likely to be. </w:t>
      </w:r>
      <w:r w:rsidR="00D075D8">
        <w:rPr>
          <w:rFonts w:ascii="Arial" w:eastAsia="Arial" w:hAnsi="Arial" w:cs="Arial"/>
          <w:sz w:val="24"/>
          <w:szCs w:val="24"/>
        </w:rPr>
        <w:t>F</w:t>
      </w:r>
      <w:r w:rsidR="00040A61">
        <w:rPr>
          <w:rFonts w:ascii="Arial" w:eastAsia="Arial" w:hAnsi="Arial" w:cs="Arial"/>
          <w:sz w:val="24"/>
          <w:szCs w:val="24"/>
        </w:rPr>
        <w:t xml:space="preserve">or example, if the estimate is 40% and the absolute sampling error is </w:t>
      </w:r>
      <w:r w:rsidR="00D41018">
        <w:rPr>
          <w:rFonts w:ascii="Arial" w:eastAsia="Arial" w:hAnsi="Arial" w:cs="Arial"/>
          <w:sz w:val="24"/>
          <w:szCs w:val="24"/>
        </w:rPr>
        <w:t>5</w:t>
      </w:r>
      <w:r w:rsidR="00040A61">
        <w:rPr>
          <w:rFonts w:ascii="Arial" w:eastAsia="Arial" w:hAnsi="Arial" w:cs="Arial"/>
          <w:sz w:val="24"/>
          <w:szCs w:val="24"/>
        </w:rPr>
        <w:t xml:space="preserve">%, this means the true value is likely to be between 35% and 45% (plus or minus 5% from the </w:t>
      </w:r>
      <w:r w:rsidR="000A338B">
        <w:rPr>
          <w:rFonts w:ascii="Arial" w:eastAsia="Arial" w:hAnsi="Arial" w:cs="Arial"/>
          <w:sz w:val="24"/>
          <w:szCs w:val="24"/>
        </w:rPr>
        <w:t xml:space="preserve">40% </w:t>
      </w:r>
      <w:r w:rsidR="00040A61">
        <w:rPr>
          <w:rFonts w:ascii="Arial" w:eastAsia="Arial" w:hAnsi="Arial" w:cs="Arial"/>
          <w:sz w:val="24"/>
          <w:szCs w:val="24"/>
        </w:rPr>
        <w:t xml:space="preserve">estimate). </w:t>
      </w:r>
    </w:p>
    <w:p w14:paraId="6707DFB2" w14:textId="77777777" w:rsidR="008C69B4" w:rsidRDefault="008C69B4" w:rsidP="008C69B4">
      <w:pPr>
        <w:spacing w:line="360" w:lineRule="auto"/>
        <w:rPr>
          <w:rFonts w:ascii="Arial" w:eastAsia="Arial" w:hAnsi="Arial" w:cs="Arial"/>
          <w:sz w:val="24"/>
          <w:szCs w:val="24"/>
        </w:rPr>
      </w:pPr>
    </w:p>
    <w:p w14:paraId="2D53DF21" w14:textId="77777777" w:rsidR="00996463" w:rsidRDefault="005F7EC7" w:rsidP="0023551A">
      <w:pPr>
        <w:pStyle w:val="Heading2"/>
      </w:pPr>
      <w:bookmarkStart w:id="5" w:name="_85oonqfyo4o4" w:colFirst="0" w:colLast="0"/>
      <w:bookmarkEnd w:id="5"/>
      <w:r>
        <w:t>Disabled people are diverse</w:t>
      </w:r>
    </w:p>
    <w:p w14:paraId="05A3B5A8" w14:textId="341D8E86" w:rsidR="00996463" w:rsidRDefault="005F7EC7" w:rsidP="008C69B4">
      <w:pPr>
        <w:spacing w:line="360" w:lineRule="auto"/>
        <w:rPr>
          <w:rFonts w:ascii="Arial" w:eastAsia="Arial" w:hAnsi="Arial" w:cs="Arial"/>
          <w:sz w:val="24"/>
          <w:szCs w:val="24"/>
        </w:rPr>
      </w:pPr>
      <w:r>
        <w:rPr>
          <w:rFonts w:ascii="Arial" w:eastAsia="Arial" w:hAnsi="Arial" w:cs="Arial"/>
          <w:sz w:val="24"/>
          <w:szCs w:val="24"/>
        </w:rPr>
        <w:t>We have compared disabled people to other groups in society. Disabled people are diverse and overlap with these groups. Some of the disadvantage disabled people experience is because they are more likely to be Māori, Pacific peoples, unemployed, and, as children/young people, to live in sole parent households.</w:t>
      </w:r>
    </w:p>
    <w:p w14:paraId="6CF182DE" w14:textId="77777777" w:rsidR="008C69B4" w:rsidRDefault="008C69B4" w:rsidP="008C69B4">
      <w:pPr>
        <w:spacing w:line="360" w:lineRule="auto"/>
        <w:rPr>
          <w:rFonts w:ascii="Arial" w:eastAsia="Arial" w:hAnsi="Arial" w:cs="Arial"/>
          <w:sz w:val="24"/>
          <w:szCs w:val="24"/>
        </w:rPr>
      </w:pPr>
    </w:p>
    <w:p w14:paraId="747C9823" w14:textId="77777777" w:rsidR="00996463" w:rsidRDefault="005F7EC7" w:rsidP="0023551A">
      <w:pPr>
        <w:pStyle w:val="Heading2"/>
      </w:pPr>
      <w:bookmarkStart w:id="6" w:name="_gmbs69bv9ybl" w:colFirst="0" w:colLast="0"/>
      <w:bookmarkEnd w:id="6"/>
      <w:r>
        <w:t>Understanding age</w:t>
      </w:r>
    </w:p>
    <w:p w14:paraId="6AE57A10" w14:textId="2A48EDC0" w:rsidR="00996463" w:rsidRDefault="005F7EC7" w:rsidP="008C69B4">
      <w:pPr>
        <w:spacing w:line="360" w:lineRule="auto"/>
        <w:rPr>
          <w:rFonts w:ascii="Arial" w:eastAsia="Arial" w:hAnsi="Arial" w:cs="Arial"/>
          <w:sz w:val="24"/>
          <w:szCs w:val="24"/>
        </w:rPr>
      </w:pPr>
      <w:r>
        <w:rPr>
          <w:rFonts w:ascii="Arial" w:eastAsia="Arial" w:hAnsi="Arial" w:cs="Arial"/>
          <w:sz w:val="24"/>
          <w:szCs w:val="24"/>
        </w:rPr>
        <w:t>For the data in this briefing</w:t>
      </w:r>
      <w:r w:rsidR="00593688">
        <w:rPr>
          <w:rFonts w:ascii="Arial" w:eastAsia="Arial" w:hAnsi="Arial" w:cs="Arial"/>
          <w:sz w:val="24"/>
          <w:szCs w:val="24"/>
        </w:rPr>
        <w:t>,</w:t>
      </w:r>
      <w:r>
        <w:rPr>
          <w:rFonts w:ascii="Arial" w:eastAsia="Arial" w:hAnsi="Arial" w:cs="Arial"/>
          <w:sz w:val="24"/>
          <w:szCs w:val="24"/>
        </w:rPr>
        <w:t xml:space="preserve"> we have focused on younger disabled people aged 18 to 64. Overall, younger disabled people tend to have worse outcomes than older disabled people. This is because many older disabled people acquire their impairment over the age of 65. While they still face barriers, especially access barriers, they experience disability later in life when they may already have accumulated resources that help mitigate the impact of access barriers. The wellbeing differences between the age groups were explored in more detail in a Wellbeing report from December 2019:</w:t>
      </w:r>
    </w:p>
    <w:p w14:paraId="363817F3" w14:textId="083676D6" w:rsidR="00593688" w:rsidRDefault="009D153D" w:rsidP="008C69B4">
      <w:pPr>
        <w:spacing w:line="360" w:lineRule="auto"/>
        <w:rPr>
          <w:rFonts w:ascii="Arial" w:hAnsi="Arial" w:cs="Arial"/>
          <w:sz w:val="24"/>
          <w:szCs w:val="24"/>
        </w:rPr>
      </w:pPr>
      <w:hyperlink r:id="rId15" w:history="1">
        <w:r w:rsidR="00593688" w:rsidRPr="00593688">
          <w:rPr>
            <w:rStyle w:val="Hyperlink"/>
            <w:rFonts w:ascii="Arial" w:hAnsi="Arial" w:cs="Arial"/>
            <w:sz w:val="24"/>
            <w:szCs w:val="24"/>
          </w:rPr>
          <w:t>https://www.ccsdisabilityaction.org.nz/news-and-views/research/</w:t>
        </w:r>
      </w:hyperlink>
      <w:r w:rsidR="00593688" w:rsidRPr="00593688">
        <w:rPr>
          <w:rFonts w:ascii="Arial" w:hAnsi="Arial" w:cs="Arial"/>
          <w:sz w:val="24"/>
          <w:szCs w:val="24"/>
        </w:rPr>
        <w:t xml:space="preserve"> </w:t>
      </w:r>
    </w:p>
    <w:p w14:paraId="2C79B0B5" w14:textId="537CD5BC" w:rsidR="008C69B4" w:rsidRDefault="008C69B4" w:rsidP="008C69B4">
      <w:pPr>
        <w:spacing w:line="360" w:lineRule="auto"/>
        <w:rPr>
          <w:rFonts w:ascii="Arial" w:hAnsi="Arial" w:cs="Arial"/>
          <w:sz w:val="24"/>
          <w:szCs w:val="24"/>
        </w:rPr>
      </w:pPr>
    </w:p>
    <w:p w14:paraId="11ADE5A5" w14:textId="59C5CB88" w:rsidR="000273D7" w:rsidRDefault="008C69B4" w:rsidP="00AF2121">
      <w:pPr>
        <w:spacing w:line="360" w:lineRule="auto"/>
        <w:rPr>
          <w:rFonts w:ascii="Arial" w:hAnsi="Arial" w:cs="Arial"/>
          <w:sz w:val="24"/>
          <w:szCs w:val="24"/>
        </w:rPr>
      </w:pPr>
      <w:r>
        <w:rPr>
          <w:rFonts w:ascii="Arial" w:hAnsi="Arial" w:cs="Arial"/>
          <w:sz w:val="24"/>
          <w:szCs w:val="24"/>
        </w:rPr>
        <w:t>Thank you for reading.</w:t>
      </w:r>
    </w:p>
    <w:sectPr w:rsidR="000273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BD509" w14:textId="77777777" w:rsidR="009D153D" w:rsidRDefault="009D153D" w:rsidP="00D242F0">
      <w:r>
        <w:separator/>
      </w:r>
    </w:p>
  </w:endnote>
  <w:endnote w:type="continuationSeparator" w:id="0">
    <w:p w14:paraId="1571D11A" w14:textId="77777777" w:rsidR="009D153D" w:rsidRDefault="009D153D" w:rsidP="00D2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2C57" w14:textId="77777777" w:rsidR="009D153D" w:rsidRDefault="009D153D" w:rsidP="00D242F0">
      <w:r>
        <w:separator/>
      </w:r>
    </w:p>
  </w:footnote>
  <w:footnote w:type="continuationSeparator" w:id="0">
    <w:p w14:paraId="1CBA47A3" w14:textId="77777777" w:rsidR="009D153D" w:rsidRDefault="009D153D" w:rsidP="00D242F0">
      <w:r>
        <w:continuationSeparator/>
      </w:r>
    </w:p>
  </w:footnote>
  <w:footnote w:id="1">
    <w:p w14:paraId="43856AB6" w14:textId="7C432AE7" w:rsidR="00D242F0" w:rsidRDefault="00D242F0">
      <w:pPr>
        <w:pStyle w:val="FootnoteText"/>
      </w:pPr>
      <w:r>
        <w:rPr>
          <w:rStyle w:val="FootnoteReference"/>
        </w:rPr>
        <w:footnoteRef/>
      </w:r>
      <w:r>
        <w:t xml:space="preserve"> See pages 10 and 11 of this report for more on this: </w:t>
      </w:r>
      <w:hyperlink r:id="rId1" w:history="1">
        <w:r w:rsidRPr="007A604B">
          <w:rPr>
            <w:rStyle w:val="Hyperlink"/>
          </w:rPr>
          <w:t>https://www.ccsdisabilityaction.org.nz/assets/resource-files/The-State-of-wellbeing-and-equality-FINAL-ONLINE2.pdf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7.8pt;height:26.4pt" o:bullet="t">
        <v:imagedata r:id="rId1" o:title="art1C51"/>
      </v:shape>
    </w:pict>
  </w:numPicBullet>
  <w:abstractNum w:abstractNumId="0" w15:restartNumberingAfterBreak="0">
    <w:nsid w:val="02243FA3"/>
    <w:multiLevelType w:val="hybridMultilevel"/>
    <w:tmpl w:val="2F4E13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7051E0"/>
    <w:multiLevelType w:val="hybridMultilevel"/>
    <w:tmpl w:val="822C61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B27D82"/>
    <w:multiLevelType w:val="hybridMultilevel"/>
    <w:tmpl w:val="54E407A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7296434"/>
    <w:multiLevelType w:val="multilevel"/>
    <w:tmpl w:val="D1F09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9811B4"/>
    <w:multiLevelType w:val="hybridMultilevel"/>
    <w:tmpl w:val="A524DB3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63"/>
    <w:rsid w:val="000030C8"/>
    <w:rsid w:val="00006FE2"/>
    <w:rsid w:val="00014AD3"/>
    <w:rsid w:val="000273D7"/>
    <w:rsid w:val="00040A61"/>
    <w:rsid w:val="00046979"/>
    <w:rsid w:val="00053D56"/>
    <w:rsid w:val="00067B41"/>
    <w:rsid w:val="00074C25"/>
    <w:rsid w:val="00077A5D"/>
    <w:rsid w:val="00096C61"/>
    <w:rsid w:val="000A338B"/>
    <w:rsid w:val="000C58F8"/>
    <w:rsid w:val="000C6F3E"/>
    <w:rsid w:val="00105B2F"/>
    <w:rsid w:val="001409C2"/>
    <w:rsid w:val="00147812"/>
    <w:rsid w:val="00160858"/>
    <w:rsid w:val="00177256"/>
    <w:rsid w:val="00181F45"/>
    <w:rsid w:val="00182AA3"/>
    <w:rsid w:val="0019034D"/>
    <w:rsid w:val="001B5142"/>
    <w:rsid w:val="001D3177"/>
    <w:rsid w:val="0023551A"/>
    <w:rsid w:val="00250CD2"/>
    <w:rsid w:val="00261D88"/>
    <w:rsid w:val="00273971"/>
    <w:rsid w:val="00285E78"/>
    <w:rsid w:val="002B4D71"/>
    <w:rsid w:val="002C1B1A"/>
    <w:rsid w:val="00327AB7"/>
    <w:rsid w:val="00342F2A"/>
    <w:rsid w:val="00351B54"/>
    <w:rsid w:val="003602FF"/>
    <w:rsid w:val="00386CA6"/>
    <w:rsid w:val="00390BF1"/>
    <w:rsid w:val="003E3D86"/>
    <w:rsid w:val="003F0AED"/>
    <w:rsid w:val="003F13AA"/>
    <w:rsid w:val="003F4AC5"/>
    <w:rsid w:val="003F6C14"/>
    <w:rsid w:val="0043185E"/>
    <w:rsid w:val="00462A23"/>
    <w:rsid w:val="00485E9A"/>
    <w:rsid w:val="00495967"/>
    <w:rsid w:val="004C6DEF"/>
    <w:rsid w:val="004D0C4B"/>
    <w:rsid w:val="004E0079"/>
    <w:rsid w:val="004F37DD"/>
    <w:rsid w:val="004F5DC1"/>
    <w:rsid w:val="005016BD"/>
    <w:rsid w:val="00506C47"/>
    <w:rsid w:val="005255A5"/>
    <w:rsid w:val="005916F3"/>
    <w:rsid w:val="00593688"/>
    <w:rsid w:val="005A3D99"/>
    <w:rsid w:val="005D235E"/>
    <w:rsid w:val="005E1CF4"/>
    <w:rsid w:val="005F7EC7"/>
    <w:rsid w:val="00655729"/>
    <w:rsid w:val="006663CC"/>
    <w:rsid w:val="0067537F"/>
    <w:rsid w:val="006853ED"/>
    <w:rsid w:val="00693E87"/>
    <w:rsid w:val="006A34E4"/>
    <w:rsid w:val="006D199D"/>
    <w:rsid w:val="006F317D"/>
    <w:rsid w:val="006F3BD1"/>
    <w:rsid w:val="00710076"/>
    <w:rsid w:val="00726111"/>
    <w:rsid w:val="007476FA"/>
    <w:rsid w:val="007508A3"/>
    <w:rsid w:val="00750CEA"/>
    <w:rsid w:val="00765AC1"/>
    <w:rsid w:val="00774DBC"/>
    <w:rsid w:val="00790347"/>
    <w:rsid w:val="007C11F5"/>
    <w:rsid w:val="007C33AD"/>
    <w:rsid w:val="007F203D"/>
    <w:rsid w:val="007F7758"/>
    <w:rsid w:val="008120D7"/>
    <w:rsid w:val="00823126"/>
    <w:rsid w:val="0083549D"/>
    <w:rsid w:val="008411C9"/>
    <w:rsid w:val="008530AA"/>
    <w:rsid w:val="0085514D"/>
    <w:rsid w:val="0086036C"/>
    <w:rsid w:val="00862567"/>
    <w:rsid w:val="00896106"/>
    <w:rsid w:val="008B10DA"/>
    <w:rsid w:val="008B3544"/>
    <w:rsid w:val="008B7AB5"/>
    <w:rsid w:val="008C69B4"/>
    <w:rsid w:val="008D714C"/>
    <w:rsid w:val="008F45B9"/>
    <w:rsid w:val="008F4A4D"/>
    <w:rsid w:val="00900FB6"/>
    <w:rsid w:val="00904BE6"/>
    <w:rsid w:val="00937B79"/>
    <w:rsid w:val="00962489"/>
    <w:rsid w:val="00971575"/>
    <w:rsid w:val="00991495"/>
    <w:rsid w:val="00996463"/>
    <w:rsid w:val="009A4542"/>
    <w:rsid w:val="009B232C"/>
    <w:rsid w:val="009D153D"/>
    <w:rsid w:val="00A03054"/>
    <w:rsid w:val="00A04304"/>
    <w:rsid w:val="00A23F4C"/>
    <w:rsid w:val="00A36683"/>
    <w:rsid w:val="00A65C42"/>
    <w:rsid w:val="00A71DC5"/>
    <w:rsid w:val="00A727D3"/>
    <w:rsid w:val="00A9239E"/>
    <w:rsid w:val="00A92728"/>
    <w:rsid w:val="00AA48FC"/>
    <w:rsid w:val="00AB4B44"/>
    <w:rsid w:val="00AB67FD"/>
    <w:rsid w:val="00AD3CDE"/>
    <w:rsid w:val="00AF2121"/>
    <w:rsid w:val="00B70E34"/>
    <w:rsid w:val="00B86A62"/>
    <w:rsid w:val="00BC7977"/>
    <w:rsid w:val="00BD6342"/>
    <w:rsid w:val="00BE7780"/>
    <w:rsid w:val="00BF27C6"/>
    <w:rsid w:val="00C027DA"/>
    <w:rsid w:val="00C45635"/>
    <w:rsid w:val="00C57A15"/>
    <w:rsid w:val="00C63191"/>
    <w:rsid w:val="00C70C11"/>
    <w:rsid w:val="00C73816"/>
    <w:rsid w:val="00C84833"/>
    <w:rsid w:val="00CA314A"/>
    <w:rsid w:val="00CB24A2"/>
    <w:rsid w:val="00CB6BB2"/>
    <w:rsid w:val="00CC5174"/>
    <w:rsid w:val="00CD0EB4"/>
    <w:rsid w:val="00CF0342"/>
    <w:rsid w:val="00CF32B5"/>
    <w:rsid w:val="00CF359E"/>
    <w:rsid w:val="00CF5D00"/>
    <w:rsid w:val="00D075D8"/>
    <w:rsid w:val="00D10FD2"/>
    <w:rsid w:val="00D1596A"/>
    <w:rsid w:val="00D23621"/>
    <w:rsid w:val="00D242F0"/>
    <w:rsid w:val="00D2593E"/>
    <w:rsid w:val="00D26289"/>
    <w:rsid w:val="00D41018"/>
    <w:rsid w:val="00D44128"/>
    <w:rsid w:val="00D4512F"/>
    <w:rsid w:val="00D509B4"/>
    <w:rsid w:val="00D520CE"/>
    <w:rsid w:val="00D6041B"/>
    <w:rsid w:val="00D71B59"/>
    <w:rsid w:val="00D84B61"/>
    <w:rsid w:val="00D975BD"/>
    <w:rsid w:val="00DB2917"/>
    <w:rsid w:val="00DE0534"/>
    <w:rsid w:val="00E7073D"/>
    <w:rsid w:val="00E81418"/>
    <w:rsid w:val="00EA0BAC"/>
    <w:rsid w:val="00EA6646"/>
    <w:rsid w:val="00EB7D2D"/>
    <w:rsid w:val="00EC14E4"/>
    <w:rsid w:val="00EC5CE9"/>
    <w:rsid w:val="00ED41DD"/>
    <w:rsid w:val="00EE001F"/>
    <w:rsid w:val="00EE5901"/>
    <w:rsid w:val="00F367CA"/>
    <w:rsid w:val="00F72FB1"/>
    <w:rsid w:val="00F751B7"/>
    <w:rsid w:val="00F760A7"/>
    <w:rsid w:val="00F857C2"/>
    <w:rsid w:val="00FA17BB"/>
    <w:rsid w:val="00FD279C"/>
    <w:rsid w:val="00FF5E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CE90"/>
  <w15:docId w15:val="{F94A4617-245B-46BB-AC98-7905D54E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3551A"/>
    <w:pPr>
      <w:keepNext/>
      <w:keepLines/>
      <w:spacing w:line="360" w:lineRule="auto"/>
      <w:outlineLvl w:val="0"/>
    </w:pPr>
    <w:rPr>
      <w:rFonts w:ascii="Arial" w:hAnsi="Arial"/>
      <w:b/>
      <w:sz w:val="24"/>
      <w:szCs w:val="48"/>
    </w:rPr>
  </w:style>
  <w:style w:type="paragraph" w:styleId="Heading2">
    <w:name w:val="heading 2"/>
    <w:basedOn w:val="Normal"/>
    <w:next w:val="Normal"/>
    <w:uiPriority w:val="9"/>
    <w:unhideWhenUsed/>
    <w:qFormat/>
    <w:rsid w:val="0023551A"/>
    <w:pPr>
      <w:keepNext/>
      <w:keepLines/>
      <w:spacing w:line="360" w:lineRule="auto"/>
      <w:outlineLvl w:val="1"/>
    </w:pPr>
    <w:rPr>
      <w:rFonts w:ascii="Arial" w:hAnsi="Arial"/>
      <w:b/>
      <w:sz w:val="24"/>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A314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688"/>
    <w:rPr>
      <w:color w:val="0000FF" w:themeColor="hyperlink"/>
      <w:u w:val="single"/>
    </w:rPr>
  </w:style>
  <w:style w:type="character" w:styleId="UnresolvedMention">
    <w:name w:val="Unresolved Mention"/>
    <w:basedOn w:val="DefaultParagraphFont"/>
    <w:uiPriority w:val="99"/>
    <w:semiHidden/>
    <w:unhideWhenUsed/>
    <w:rsid w:val="00593688"/>
    <w:rPr>
      <w:color w:val="605E5C"/>
      <w:shd w:val="clear" w:color="auto" w:fill="E1DFDD"/>
    </w:rPr>
  </w:style>
  <w:style w:type="paragraph" w:styleId="ListParagraph">
    <w:name w:val="List Paragraph"/>
    <w:basedOn w:val="Normal"/>
    <w:uiPriority w:val="34"/>
    <w:qFormat/>
    <w:rsid w:val="00A71DC5"/>
    <w:pPr>
      <w:spacing w:line="360" w:lineRule="auto"/>
      <w:ind w:left="720"/>
      <w:contextualSpacing/>
    </w:pPr>
    <w:rPr>
      <w:rFonts w:ascii="Arial" w:eastAsia="Times New Roman" w:hAnsi="Arial" w:cs="Times New Roman"/>
      <w:sz w:val="24"/>
      <w:szCs w:val="24"/>
      <w:lang w:val="en-AU" w:eastAsia="en-US"/>
    </w:rPr>
  </w:style>
  <w:style w:type="paragraph" w:customStyle="1" w:styleId="Pa3">
    <w:name w:val="Pa3"/>
    <w:basedOn w:val="Normal"/>
    <w:next w:val="Normal"/>
    <w:uiPriority w:val="99"/>
    <w:rsid w:val="00A71DC5"/>
    <w:pPr>
      <w:autoSpaceDE w:val="0"/>
      <w:autoSpaceDN w:val="0"/>
      <w:adjustRightInd w:val="0"/>
      <w:spacing w:line="201" w:lineRule="atLeast"/>
    </w:pPr>
    <w:rPr>
      <w:rFonts w:ascii="Museo Sans 300" w:eastAsiaTheme="minorHAnsi" w:hAnsi="Museo Sans 300" w:cstheme="minorBidi"/>
      <w:sz w:val="24"/>
      <w:szCs w:val="24"/>
      <w:lang w:eastAsia="en-US"/>
    </w:rPr>
  </w:style>
  <w:style w:type="paragraph" w:styleId="BalloonText">
    <w:name w:val="Balloon Text"/>
    <w:basedOn w:val="Normal"/>
    <w:link w:val="BalloonTextChar"/>
    <w:uiPriority w:val="99"/>
    <w:semiHidden/>
    <w:unhideWhenUsed/>
    <w:rsid w:val="00AB4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44"/>
    <w:rPr>
      <w:rFonts w:ascii="Segoe UI" w:hAnsi="Segoe UI" w:cs="Segoe UI"/>
      <w:sz w:val="18"/>
      <w:szCs w:val="18"/>
    </w:rPr>
  </w:style>
  <w:style w:type="paragraph" w:styleId="FootnoteText">
    <w:name w:val="footnote text"/>
    <w:basedOn w:val="Normal"/>
    <w:link w:val="FootnoteTextChar"/>
    <w:uiPriority w:val="99"/>
    <w:semiHidden/>
    <w:unhideWhenUsed/>
    <w:rsid w:val="00D242F0"/>
    <w:rPr>
      <w:sz w:val="20"/>
      <w:szCs w:val="20"/>
    </w:rPr>
  </w:style>
  <w:style w:type="character" w:customStyle="1" w:styleId="FootnoteTextChar">
    <w:name w:val="Footnote Text Char"/>
    <w:basedOn w:val="DefaultParagraphFont"/>
    <w:link w:val="FootnoteText"/>
    <w:uiPriority w:val="99"/>
    <w:semiHidden/>
    <w:rsid w:val="00D242F0"/>
    <w:rPr>
      <w:sz w:val="20"/>
      <w:szCs w:val="20"/>
    </w:rPr>
  </w:style>
  <w:style w:type="character" w:styleId="FootnoteReference">
    <w:name w:val="footnote reference"/>
    <w:basedOn w:val="DefaultParagraphFont"/>
    <w:uiPriority w:val="99"/>
    <w:semiHidden/>
    <w:unhideWhenUsed/>
    <w:rsid w:val="00D24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7565">
      <w:bodyDiv w:val="1"/>
      <w:marLeft w:val="0"/>
      <w:marRight w:val="0"/>
      <w:marTop w:val="0"/>
      <w:marBottom w:val="0"/>
      <w:divBdr>
        <w:top w:val="none" w:sz="0" w:space="0" w:color="auto"/>
        <w:left w:val="none" w:sz="0" w:space="0" w:color="auto"/>
        <w:bottom w:val="none" w:sz="0" w:space="0" w:color="auto"/>
        <w:right w:val="none" w:sz="0" w:space="0" w:color="auto"/>
      </w:divBdr>
    </w:div>
    <w:div w:id="214317373">
      <w:bodyDiv w:val="1"/>
      <w:marLeft w:val="0"/>
      <w:marRight w:val="0"/>
      <w:marTop w:val="0"/>
      <w:marBottom w:val="0"/>
      <w:divBdr>
        <w:top w:val="none" w:sz="0" w:space="0" w:color="auto"/>
        <w:left w:val="none" w:sz="0" w:space="0" w:color="auto"/>
        <w:bottom w:val="none" w:sz="0" w:space="0" w:color="auto"/>
        <w:right w:val="none" w:sz="0" w:space="0" w:color="auto"/>
      </w:divBdr>
    </w:div>
    <w:div w:id="323364377">
      <w:bodyDiv w:val="1"/>
      <w:marLeft w:val="0"/>
      <w:marRight w:val="0"/>
      <w:marTop w:val="0"/>
      <w:marBottom w:val="0"/>
      <w:divBdr>
        <w:top w:val="none" w:sz="0" w:space="0" w:color="auto"/>
        <w:left w:val="none" w:sz="0" w:space="0" w:color="auto"/>
        <w:bottom w:val="none" w:sz="0" w:space="0" w:color="auto"/>
        <w:right w:val="none" w:sz="0" w:space="0" w:color="auto"/>
      </w:divBdr>
    </w:div>
    <w:div w:id="417755892">
      <w:bodyDiv w:val="1"/>
      <w:marLeft w:val="0"/>
      <w:marRight w:val="0"/>
      <w:marTop w:val="0"/>
      <w:marBottom w:val="0"/>
      <w:divBdr>
        <w:top w:val="none" w:sz="0" w:space="0" w:color="auto"/>
        <w:left w:val="none" w:sz="0" w:space="0" w:color="auto"/>
        <w:bottom w:val="none" w:sz="0" w:space="0" w:color="auto"/>
        <w:right w:val="none" w:sz="0" w:space="0" w:color="auto"/>
      </w:divBdr>
    </w:div>
    <w:div w:id="484517465">
      <w:bodyDiv w:val="1"/>
      <w:marLeft w:val="0"/>
      <w:marRight w:val="0"/>
      <w:marTop w:val="0"/>
      <w:marBottom w:val="0"/>
      <w:divBdr>
        <w:top w:val="none" w:sz="0" w:space="0" w:color="auto"/>
        <w:left w:val="none" w:sz="0" w:space="0" w:color="auto"/>
        <w:bottom w:val="none" w:sz="0" w:space="0" w:color="auto"/>
        <w:right w:val="none" w:sz="0" w:space="0" w:color="auto"/>
      </w:divBdr>
    </w:div>
    <w:div w:id="507057488">
      <w:bodyDiv w:val="1"/>
      <w:marLeft w:val="0"/>
      <w:marRight w:val="0"/>
      <w:marTop w:val="0"/>
      <w:marBottom w:val="0"/>
      <w:divBdr>
        <w:top w:val="none" w:sz="0" w:space="0" w:color="auto"/>
        <w:left w:val="none" w:sz="0" w:space="0" w:color="auto"/>
        <w:bottom w:val="none" w:sz="0" w:space="0" w:color="auto"/>
        <w:right w:val="none" w:sz="0" w:space="0" w:color="auto"/>
      </w:divBdr>
    </w:div>
    <w:div w:id="745110299">
      <w:bodyDiv w:val="1"/>
      <w:marLeft w:val="0"/>
      <w:marRight w:val="0"/>
      <w:marTop w:val="0"/>
      <w:marBottom w:val="0"/>
      <w:divBdr>
        <w:top w:val="none" w:sz="0" w:space="0" w:color="auto"/>
        <w:left w:val="none" w:sz="0" w:space="0" w:color="auto"/>
        <w:bottom w:val="none" w:sz="0" w:space="0" w:color="auto"/>
        <w:right w:val="none" w:sz="0" w:space="0" w:color="auto"/>
      </w:divBdr>
    </w:div>
    <w:div w:id="1261715573">
      <w:bodyDiv w:val="1"/>
      <w:marLeft w:val="0"/>
      <w:marRight w:val="0"/>
      <w:marTop w:val="0"/>
      <w:marBottom w:val="0"/>
      <w:divBdr>
        <w:top w:val="none" w:sz="0" w:space="0" w:color="auto"/>
        <w:left w:val="none" w:sz="0" w:space="0" w:color="auto"/>
        <w:bottom w:val="none" w:sz="0" w:space="0" w:color="auto"/>
        <w:right w:val="none" w:sz="0" w:space="0" w:color="auto"/>
      </w:divBdr>
    </w:div>
    <w:div w:id="174490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ccsdisabilityaction.org.nz/news-and-views/research/" TargetMode="External"/><Relationship Id="rId10" Type="http://schemas.openxmlformats.org/officeDocument/2006/relationships/image" Target="cid:image006.jpg@01D57F65.BE8920E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stats.govt.nz/information-releases/wellbeing-statistics-june-2020-quar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csdisabilityaction.org.nz/assets/resource-files/The-State-of-wellbeing-and-equality-FINAL-ONLINE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smurray\Desktop\Storage\Graphs%20for%20designe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murray\Desktop\Copy%20of%2020200612%20Working%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murray\Desktop\Storage\Graphs%20for%20designer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b="1" i="0" baseline="0">
                <a:solidFill>
                  <a:sysClr val="windowText" lastClr="000000"/>
                </a:solidFill>
                <a:effectLst/>
                <a:latin typeface="Arial" panose="020B0604020202020204" pitchFamily="34" charset="0"/>
                <a:cs typeface="Arial" panose="020B0604020202020204" pitchFamily="34" charset="0"/>
              </a:rPr>
              <a:t>The percentage of people reporting that they do not have enough income for everyday needs in 2020</a:t>
            </a:r>
            <a:endParaRPr lang="en-NZ" sz="1200" b="1">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Sheet1!$F$24</c:f>
              <c:strCache>
                <c:ptCount val="1"/>
                <c:pt idx="0">
                  <c:v>People reporting that they do not have enough income for everday needs - 2020</c:v>
                </c:pt>
              </c:strCache>
            </c:strRef>
          </c:tx>
          <c:spPr>
            <a:solidFill>
              <a:schemeClr val="accent1"/>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D812-4185-B294-5E6254C06036}"/>
              </c:ext>
            </c:extLst>
          </c:dPt>
          <c:dPt>
            <c:idx val="1"/>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3-D812-4185-B294-5E6254C06036}"/>
              </c:ext>
            </c:extLst>
          </c:dPt>
          <c:dPt>
            <c:idx val="2"/>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5-D812-4185-B294-5E6254C06036}"/>
              </c:ext>
            </c:extLst>
          </c:dPt>
          <c:dPt>
            <c:idx val="3"/>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7-D812-4185-B294-5E6254C06036}"/>
              </c:ext>
            </c:extLst>
          </c:dPt>
          <c:dPt>
            <c:idx val="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9-D812-4185-B294-5E6254C06036}"/>
              </c:ext>
            </c:extLst>
          </c:dPt>
          <c:dPt>
            <c:idx val="5"/>
            <c:invertIfNegative val="0"/>
            <c:bubble3D val="0"/>
            <c:spPr>
              <a:solidFill>
                <a:schemeClr val="accent6">
                  <a:lumMod val="20000"/>
                  <a:lumOff val="80000"/>
                </a:schemeClr>
              </a:solidFill>
              <a:ln>
                <a:noFill/>
              </a:ln>
              <a:effectLst/>
            </c:spPr>
            <c:extLst>
              <c:ext xmlns:c16="http://schemas.microsoft.com/office/drawing/2014/chart" uri="{C3380CC4-5D6E-409C-BE32-E72D297353CC}">
                <c16:uniqueId val="{0000000B-D812-4185-B294-5E6254C06036}"/>
              </c:ext>
            </c:extLst>
          </c:dPt>
          <c:errBars>
            <c:errBarType val="both"/>
            <c:errValType val="cust"/>
            <c:noEndCap val="0"/>
            <c:plus>
              <c:numRef>
                <c:f>Sheet1!$G$25:$G$30</c:f>
                <c:numCache>
                  <c:formatCode>General</c:formatCode>
                  <c:ptCount val="6"/>
                  <c:pt idx="0">
                    <c:v>2.1000000000000001E-2</c:v>
                  </c:pt>
                  <c:pt idx="1">
                    <c:v>0.04</c:v>
                  </c:pt>
                  <c:pt idx="2">
                    <c:v>5.9000000000000004E-2</c:v>
                  </c:pt>
                  <c:pt idx="3">
                    <c:v>6.9999999999999993E-3</c:v>
                  </c:pt>
                  <c:pt idx="4">
                    <c:v>3.2000000000000001E-2</c:v>
                  </c:pt>
                  <c:pt idx="5">
                    <c:v>5.5999999999999994E-2</c:v>
                  </c:pt>
                </c:numCache>
              </c:numRef>
            </c:plus>
            <c:minus>
              <c:numRef>
                <c:f>Sheet1!$G$25:$G$30</c:f>
                <c:numCache>
                  <c:formatCode>General</c:formatCode>
                  <c:ptCount val="6"/>
                  <c:pt idx="0">
                    <c:v>2.1000000000000001E-2</c:v>
                  </c:pt>
                  <c:pt idx="1">
                    <c:v>0.04</c:v>
                  </c:pt>
                  <c:pt idx="2">
                    <c:v>5.9000000000000004E-2</c:v>
                  </c:pt>
                  <c:pt idx="3">
                    <c:v>6.9999999999999993E-3</c:v>
                  </c:pt>
                  <c:pt idx="4">
                    <c:v>3.2000000000000001E-2</c:v>
                  </c:pt>
                  <c:pt idx="5">
                    <c:v>5.5999999999999994E-2</c:v>
                  </c:pt>
                </c:numCache>
              </c:numRef>
            </c:minus>
            <c:spPr>
              <a:noFill/>
              <a:ln w="9525" cap="flat" cmpd="sng" algn="ctr">
                <a:solidFill>
                  <a:schemeClr val="tx1">
                    <a:lumMod val="65000"/>
                    <a:lumOff val="35000"/>
                  </a:schemeClr>
                </a:solidFill>
                <a:round/>
              </a:ln>
              <a:effectLst/>
            </c:spPr>
          </c:errBars>
          <c:cat>
            <c:strRef>
              <c:f>Sheet1!$E$25:$E$30</c:f>
              <c:strCache>
                <c:ptCount val="6"/>
                <c:pt idx="0">
                  <c:v>Māori</c:v>
                </c:pt>
                <c:pt idx="1">
                  <c:v>Pacific peoples</c:v>
                </c:pt>
                <c:pt idx="2">
                  <c:v>Disabled people aged 18 to 64</c:v>
                </c:pt>
                <c:pt idx="3">
                  <c:v>Non-disabled people aged 18 to 64</c:v>
                </c:pt>
                <c:pt idx="4">
                  <c:v>Sole parents</c:v>
                </c:pt>
                <c:pt idx="5">
                  <c:v>People who are unemployed</c:v>
                </c:pt>
              </c:strCache>
            </c:strRef>
          </c:cat>
          <c:val>
            <c:numRef>
              <c:f>Sheet1!$F$25:$F$30</c:f>
              <c:numCache>
                <c:formatCode>0%</c:formatCode>
                <c:ptCount val="6"/>
                <c:pt idx="0">
                  <c:v>0.109</c:v>
                </c:pt>
                <c:pt idx="1">
                  <c:v>0.188</c:v>
                </c:pt>
                <c:pt idx="2">
                  <c:v>0.22899999999999998</c:v>
                </c:pt>
                <c:pt idx="3">
                  <c:v>6.5000000000000002E-2</c:v>
                </c:pt>
                <c:pt idx="4">
                  <c:v>0.17800000000000002</c:v>
                </c:pt>
                <c:pt idx="5">
                  <c:v>0.25800000000000001</c:v>
                </c:pt>
              </c:numCache>
            </c:numRef>
          </c:val>
          <c:extLst>
            <c:ext xmlns:c16="http://schemas.microsoft.com/office/drawing/2014/chart" uri="{C3380CC4-5D6E-409C-BE32-E72D297353CC}">
              <c16:uniqueId val="{0000000C-D812-4185-B294-5E6254C06036}"/>
            </c:ext>
          </c:extLst>
        </c:ser>
        <c:dLbls>
          <c:showLegendKey val="0"/>
          <c:showVal val="0"/>
          <c:showCatName val="0"/>
          <c:showSerName val="0"/>
          <c:showPercent val="0"/>
          <c:showBubbleSize val="0"/>
        </c:dLbls>
        <c:gapWidth val="219"/>
        <c:overlap val="-27"/>
        <c:axId val="1919340159"/>
        <c:axId val="1868165455"/>
      </c:barChart>
      <c:catAx>
        <c:axId val="1919340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68165455"/>
        <c:crosses val="autoZero"/>
        <c:auto val="1"/>
        <c:lblAlgn val="ctr"/>
        <c:lblOffset val="100"/>
        <c:noMultiLvlLbl val="0"/>
      </c:catAx>
      <c:valAx>
        <c:axId val="18681654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193401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NZ" sz="1200" b="1">
                <a:solidFill>
                  <a:sysClr val="windowText" lastClr="000000"/>
                </a:solidFill>
                <a:latin typeface="Arial" panose="020B0604020202020204" pitchFamily="34" charset="0"/>
                <a:cs typeface="Arial" panose="020B0604020202020204" pitchFamily="34" charset="0"/>
              </a:rPr>
              <a:t>Disability</a:t>
            </a:r>
            <a:r>
              <a:rPr lang="en-NZ" sz="1200" b="1" baseline="0">
                <a:solidFill>
                  <a:sysClr val="windowText" lastClr="000000"/>
                </a:solidFill>
                <a:latin typeface="Arial" panose="020B0604020202020204" pitchFamily="34" charset="0"/>
                <a:cs typeface="Arial" panose="020B0604020202020204" pitchFamily="34" charset="0"/>
              </a:rPr>
              <a:t> Allowance m</a:t>
            </a:r>
            <a:r>
              <a:rPr lang="en-NZ" sz="1200" b="1">
                <a:solidFill>
                  <a:sysClr val="windowText" lastClr="000000"/>
                </a:solidFill>
                <a:latin typeface="Arial" panose="020B0604020202020204" pitchFamily="34" charset="0"/>
                <a:cs typeface="Arial" panose="020B0604020202020204" pitchFamily="34" charset="0"/>
              </a:rPr>
              <a:t>edian</a:t>
            </a:r>
            <a:r>
              <a:rPr lang="en-NZ" sz="1200" b="1" baseline="0">
                <a:solidFill>
                  <a:sysClr val="windowText" lastClr="000000"/>
                </a:solidFill>
                <a:latin typeface="Arial" panose="020B0604020202020204" pitchFamily="34" charset="0"/>
                <a:cs typeface="Arial" panose="020B0604020202020204" pitchFamily="34" charset="0"/>
              </a:rPr>
              <a:t> payment rates for people aged 18 to 64</a:t>
            </a:r>
            <a:endParaRPr lang="en-NZ" sz="12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Sheet1!$R$64</c:f>
              <c:strCache>
                <c:ptCount val="1"/>
                <c:pt idx="0">
                  <c:v>Māori</c:v>
                </c:pt>
              </c:strCache>
            </c:strRef>
          </c:tx>
          <c:spPr>
            <a:ln w="28575" cap="rnd">
              <a:solidFill>
                <a:schemeClr val="accent1"/>
              </a:solidFill>
              <a:round/>
            </a:ln>
            <a:effectLst/>
          </c:spPr>
          <c:marker>
            <c:symbol val="none"/>
          </c:marker>
          <c:cat>
            <c:strRef>
              <c:f>Sheet1!$Q$65:$Q$105</c:f>
              <c:strCache>
                <c:ptCount val="41"/>
                <c:pt idx="0">
                  <c:v>March 2010</c:v>
                </c:pt>
                <c:pt idx="1">
                  <c:v>June 2010</c:v>
                </c:pt>
                <c:pt idx="2">
                  <c:v>September 2010</c:v>
                </c:pt>
                <c:pt idx="3">
                  <c:v>December 2010</c:v>
                </c:pt>
                <c:pt idx="4">
                  <c:v>March 2011</c:v>
                </c:pt>
                <c:pt idx="5">
                  <c:v>June 2011</c:v>
                </c:pt>
                <c:pt idx="6">
                  <c:v>September 2011</c:v>
                </c:pt>
                <c:pt idx="7">
                  <c:v>December 2011</c:v>
                </c:pt>
                <c:pt idx="8">
                  <c:v>March 2012</c:v>
                </c:pt>
                <c:pt idx="9">
                  <c:v>June 2012</c:v>
                </c:pt>
                <c:pt idx="10">
                  <c:v>September 2012</c:v>
                </c:pt>
                <c:pt idx="11">
                  <c:v>December 2012</c:v>
                </c:pt>
                <c:pt idx="12">
                  <c:v>March 2013</c:v>
                </c:pt>
                <c:pt idx="13">
                  <c:v>June 2013</c:v>
                </c:pt>
                <c:pt idx="14">
                  <c:v>September 2013</c:v>
                </c:pt>
                <c:pt idx="15">
                  <c:v>December 2013</c:v>
                </c:pt>
                <c:pt idx="16">
                  <c:v>March 2014</c:v>
                </c:pt>
                <c:pt idx="17">
                  <c:v>June 2014</c:v>
                </c:pt>
                <c:pt idx="18">
                  <c:v>September 2014</c:v>
                </c:pt>
                <c:pt idx="19">
                  <c:v>December 2014</c:v>
                </c:pt>
                <c:pt idx="20">
                  <c:v>March 2015</c:v>
                </c:pt>
                <c:pt idx="21">
                  <c:v>June 2015</c:v>
                </c:pt>
                <c:pt idx="22">
                  <c:v>September 2015</c:v>
                </c:pt>
                <c:pt idx="23">
                  <c:v>December 2015</c:v>
                </c:pt>
                <c:pt idx="24">
                  <c:v>March 2016</c:v>
                </c:pt>
                <c:pt idx="25">
                  <c:v>June 2016</c:v>
                </c:pt>
                <c:pt idx="26">
                  <c:v>September 2016</c:v>
                </c:pt>
                <c:pt idx="27">
                  <c:v>December 2016</c:v>
                </c:pt>
                <c:pt idx="28">
                  <c:v>March 2017</c:v>
                </c:pt>
                <c:pt idx="29">
                  <c:v>June 2017</c:v>
                </c:pt>
                <c:pt idx="30">
                  <c:v>September 2017</c:v>
                </c:pt>
                <c:pt idx="31">
                  <c:v>December 2017</c:v>
                </c:pt>
                <c:pt idx="32">
                  <c:v>March 2018</c:v>
                </c:pt>
                <c:pt idx="33">
                  <c:v>June 2018</c:v>
                </c:pt>
                <c:pt idx="34">
                  <c:v>September 2018</c:v>
                </c:pt>
                <c:pt idx="35">
                  <c:v>December 2018</c:v>
                </c:pt>
                <c:pt idx="36">
                  <c:v>March 2019</c:v>
                </c:pt>
                <c:pt idx="37">
                  <c:v>June 2019</c:v>
                </c:pt>
                <c:pt idx="38">
                  <c:v>September 2019</c:v>
                </c:pt>
                <c:pt idx="39">
                  <c:v>December 2019</c:v>
                </c:pt>
                <c:pt idx="40">
                  <c:v>March 2020</c:v>
                </c:pt>
              </c:strCache>
            </c:strRef>
          </c:cat>
          <c:val>
            <c:numRef>
              <c:f>Sheet1!$R$65:$R$105</c:f>
              <c:numCache>
                <c:formatCode>"$"###,###,##0</c:formatCode>
                <c:ptCount val="41"/>
                <c:pt idx="0">
                  <c:v>9</c:v>
                </c:pt>
                <c:pt idx="1">
                  <c:v>8.85</c:v>
                </c:pt>
                <c:pt idx="2">
                  <c:v>8.65</c:v>
                </c:pt>
                <c:pt idx="3">
                  <c:v>8.5500000000000007</c:v>
                </c:pt>
                <c:pt idx="4">
                  <c:v>8.6999999999999993</c:v>
                </c:pt>
                <c:pt idx="5">
                  <c:v>8.8000000000000007</c:v>
                </c:pt>
                <c:pt idx="6">
                  <c:v>8.8000000000000007</c:v>
                </c:pt>
                <c:pt idx="7">
                  <c:v>8.9499999999999993</c:v>
                </c:pt>
                <c:pt idx="8">
                  <c:v>9.15</c:v>
                </c:pt>
                <c:pt idx="9">
                  <c:v>9.25</c:v>
                </c:pt>
                <c:pt idx="10">
                  <c:v>9.25</c:v>
                </c:pt>
                <c:pt idx="11">
                  <c:v>9.25</c:v>
                </c:pt>
                <c:pt idx="12">
                  <c:v>9.25</c:v>
                </c:pt>
                <c:pt idx="13">
                  <c:v>9.1999999999999993</c:v>
                </c:pt>
                <c:pt idx="14">
                  <c:v>9.25</c:v>
                </c:pt>
                <c:pt idx="15">
                  <c:v>9.3000000000000007</c:v>
                </c:pt>
                <c:pt idx="16">
                  <c:v>9.4499999999999993</c:v>
                </c:pt>
                <c:pt idx="17">
                  <c:v>9.4</c:v>
                </c:pt>
                <c:pt idx="18">
                  <c:v>9.25</c:v>
                </c:pt>
                <c:pt idx="19">
                  <c:v>9.1999999999999993</c:v>
                </c:pt>
                <c:pt idx="20">
                  <c:v>9.25</c:v>
                </c:pt>
                <c:pt idx="21">
                  <c:v>9.1</c:v>
                </c:pt>
                <c:pt idx="22">
                  <c:v>9.0500000000000007</c:v>
                </c:pt>
                <c:pt idx="23">
                  <c:v>9.0500000000000007</c:v>
                </c:pt>
                <c:pt idx="24">
                  <c:v>9.1</c:v>
                </c:pt>
                <c:pt idx="25">
                  <c:v>9.1</c:v>
                </c:pt>
                <c:pt idx="26">
                  <c:v>9.15</c:v>
                </c:pt>
                <c:pt idx="27">
                  <c:v>9.25</c:v>
                </c:pt>
                <c:pt idx="28">
                  <c:v>9.3000000000000007</c:v>
                </c:pt>
                <c:pt idx="29">
                  <c:v>9.35</c:v>
                </c:pt>
                <c:pt idx="30">
                  <c:v>9.4</c:v>
                </c:pt>
                <c:pt idx="31">
                  <c:v>9.4</c:v>
                </c:pt>
                <c:pt idx="32">
                  <c:v>9.6</c:v>
                </c:pt>
                <c:pt idx="33">
                  <c:v>9.65</c:v>
                </c:pt>
                <c:pt idx="34">
                  <c:v>9.85</c:v>
                </c:pt>
                <c:pt idx="35">
                  <c:v>9.85</c:v>
                </c:pt>
                <c:pt idx="36">
                  <c:v>10</c:v>
                </c:pt>
                <c:pt idx="37">
                  <c:v>9.9499999999999993</c:v>
                </c:pt>
                <c:pt idx="38">
                  <c:v>9.9</c:v>
                </c:pt>
                <c:pt idx="39">
                  <c:v>9.8000000000000007</c:v>
                </c:pt>
                <c:pt idx="40">
                  <c:v>9.6999999999999993</c:v>
                </c:pt>
              </c:numCache>
            </c:numRef>
          </c:val>
          <c:smooth val="0"/>
          <c:extLst>
            <c:ext xmlns:c16="http://schemas.microsoft.com/office/drawing/2014/chart" uri="{C3380CC4-5D6E-409C-BE32-E72D297353CC}">
              <c16:uniqueId val="{00000000-0FF7-4F62-8AE1-05BA3041EF76}"/>
            </c:ext>
          </c:extLst>
        </c:ser>
        <c:ser>
          <c:idx val="1"/>
          <c:order val="1"/>
          <c:tx>
            <c:strRef>
              <c:f>Sheet1!$S$64</c:f>
              <c:strCache>
                <c:ptCount val="1"/>
                <c:pt idx="0">
                  <c:v>Pacific Peoples</c:v>
                </c:pt>
              </c:strCache>
            </c:strRef>
          </c:tx>
          <c:spPr>
            <a:ln w="28575" cap="rnd">
              <a:solidFill>
                <a:schemeClr val="accent2"/>
              </a:solidFill>
              <a:round/>
            </a:ln>
            <a:effectLst/>
          </c:spPr>
          <c:marker>
            <c:symbol val="none"/>
          </c:marker>
          <c:cat>
            <c:strRef>
              <c:f>Sheet1!$Q$65:$Q$105</c:f>
              <c:strCache>
                <c:ptCount val="41"/>
                <c:pt idx="0">
                  <c:v>March 2010</c:v>
                </c:pt>
                <c:pt idx="1">
                  <c:v>June 2010</c:v>
                </c:pt>
                <c:pt idx="2">
                  <c:v>September 2010</c:v>
                </c:pt>
                <c:pt idx="3">
                  <c:v>December 2010</c:v>
                </c:pt>
                <c:pt idx="4">
                  <c:v>March 2011</c:v>
                </c:pt>
                <c:pt idx="5">
                  <c:v>June 2011</c:v>
                </c:pt>
                <c:pt idx="6">
                  <c:v>September 2011</c:v>
                </c:pt>
                <c:pt idx="7">
                  <c:v>December 2011</c:v>
                </c:pt>
                <c:pt idx="8">
                  <c:v>March 2012</c:v>
                </c:pt>
                <c:pt idx="9">
                  <c:v>June 2012</c:v>
                </c:pt>
                <c:pt idx="10">
                  <c:v>September 2012</c:v>
                </c:pt>
                <c:pt idx="11">
                  <c:v>December 2012</c:v>
                </c:pt>
                <c:pt idx="12">
                  <c:v>March 2013</c:v>
                </c:pt>
                <c:pt idx="13">
                  <c:v>June 2013</c:v>
                </c:pt>
                <c:pt idx="14">
                  <c:v>September 2013</c:v>
                </c:pt>
                <c:pt idx="15">
                  <c:v>December 2013</c:v>
                </c:pt>
                <c:pt idx="16">
                  <c:v>March 2014</c:v>
                </c:pt>
                <c:pt idx="17">
                  <c:v>June 2014</c:v>
                </c:pt>
                <c:pt idx="18">
                  <c:v>September 2014</c:v>
                </c:pt>
                <c:pt idx="19">
                  <c:v>December 2014</c:v>
                </c:pt>
                <c:pt idx="20">
                  <c:v>March 2015</c:v>
                </c:pt>
                <c:pt idx="21">
                  <c:v>June 2015</c:v>
                </c:pt>
                <c:pt idx="22">
                  <c:v>September 2015</c:v>
                </c:pt>
                <c:pt idx="23">
                  <c:v>December 2015</c:v>
                </c:pt>
                <c:pt idx="24">
                  <c:v>March 2016</c:v>
                </c:pt>
                <c:pt idx="25">
                  <c:v>June 2016</c:v>
                </c:pt>
                <c:pt idx="26">
                  <c:v>September 2016</c:v>
                </c:pt>
                <c:pt idx="27">
                  <c:v>December 2016</c:v>
                </c:pt>
                <c:pt idx="28">
                  <c:v>March 2017</c:v>
                </c:pt>
                <c:pt idx="29">
                  <c:v>June 2017</c:v>
                </c:pt>
                <c:pt idx="30">
                  <c:v>September 2017</c:v>
                </c:pt>
                <c:pt idx="31">
                  <c:v>December 2017</c:v>
                </c:pt>
                <c:pt idx="32">
                  <c:v>March 2018</c:v>
                </c:pt>
                <c:pt idx="33">
                  <c:v>June 2018</c:v>
                </c:pt>
                <c:pt idx="34">
                  <c:v>September 2018</c:v>
                </c:pt>
                <c:pt idx="35">
                  <c:v>December 2018</c:v>
                </c:pt>
                <c:pt idx="36">
                  <c:v>March 2019</c:v>
                </c:pt>
                <c:pt idx="37">
                  <c:v>June 2019</c:v>
                </c:pt>
                <c:pt idx="38">
                  <c:v>September 2019</c:v>
                </c:pt>
                <c:pt idx="39">
                  <c:v>December 2019</c:v>
                </c:pt>
                <c:pt idx="40">
                  <c:v>March 2020</c:v>
                </c:pt>
              </c:strCache>
            </c:strRef>
          </c:cat>
          <c:val>
            <c:numRef>
              <c:f>Sheet1!$S$65:$S$105</c:f>
              <c:numCache>
                <c:formatCode>"$"###,###,##0</c:formatCode>
                <c:ptCount val="41"/>
                <c:pt idx="0">
                  <c:v>5.9</c:v>
                </c:pt>
                <c:pt idx="1">
                  <c:v>5.8</c:v>
                </c:pt>
                <c:pt idx="2">
                  <c:v>5.8</c:v>
                </c:pt>
                <c:pt idx="3">
                  <c:v>5.65</c:v>
                </c:pt>
                <c:pt idx="4">
                  <c:v>5.6</c:v>
                </c:pt>
                <c:pt idx="5">
                  <c:v>5.65</c:v>
                </c:pt>
                <c:pt idx="6">
                  <c:v>5.65</c:v>
                </c:pt>
                <c:pt idx="7">
                  <c:v>5.7</c:v>
                </c:pt>
                <c:pt idx="8">
                  <c:v>5.8</c:v>
                </c:pt>
                <c:pt idx="9">
                  <c:v>5.8</c:v>
                </c:pt>
                <c:pt idx="10">
                  <c:v>5.8</c:v>
                </c:pt>
                <c:pt idx="11">
                  <c:v>5.85</c:v>
                </c:pt>
                <c:pt idx="12">
                  <c:v>5.85</c:v>
                </c:pt>
                <c:pt idx="13">
                  <c:v>5.9</c:v>
                </c:pt>
                <c:pt idx="14">
                  <c:v>6.1</c:v>
                </c:pt>
                <c:pt idx="15">
                  <c:v>6.15</c:v>
                </c:pt>
                <c:pt idx="16">
                  <c:v>6.3</c:v>
                </c:pt>
                <c:pt idx="17">
                  <c:v>6.2</c:v>
                </c:pt>
                <c:pt idx="18">
                  <c:v>6.3</c:v>
                </c:pt>
                <c:pt idx="19">
                  <c:v>6.25</c:v>
                </c:pt>
                <c:pt idx="20">
                  <c:v>6.15</c:v>
                </c:pt>
                <c:pt idx="21">
                  <c:v>6.05</c:v>
                </c:pt>
                <c:pt idx="22">
                  <c:v>6.05</c:v>
                </c:pt>
                <c:pt idx="23">
                  <c:v>6.05</c:v>
                </c:pt>
                <c:pt idx="24">
                  <c:v>6.1</c:v>
                </c:pt>
                <c:pt idx="25">
                  <c:v>6.05</c:v>
                </c:pt>
                <c:pt idx="26">
                  <c:v>6.05</c:v>
                </c:pt>
                <c:pt idx="27">
                  <c:v>6.15</c:v>
                </c:pt>
                <c:pt idx="28">
                  <c:v>6.15</c:v>
                </c:pt>
                <c:pt idx="29">
                  <c:v>6.15</c:v>
                </c:pt>
                <c:pt idx="30">
                  <c:v>6.25</c:v>
                </c:pt>
                <c:pt idx="31">
                  <c:v>6.25</c:v>
                </c:pt>
                <c:pt idx="32">
                  <c:v>6.4</c:v>
                </c:pt>
                <c:pt idx="33">
                  <c:v>6.3</c:v>
                </c:pt>
                <c:pt idx="34">
                  <c:v>6.2</c:v>
                </c:pt>
                <c:pt idx="35">
                  <c:v>6.3</c:v>
                </c:pt>
                <c:pt idx="36">
                  <c:v>6.35</c:v>
                </c:pt>
                <c:pt idx="37">
                  <c:v>6.25</c:v>
                </c:pt>
                <c:pt idx="38">
                  <c:v>6.25</c:v>
                </c:pt>
                <c:pt idx="39">
                  <c:v>6.2</c:v>
                </c:pt>
                <c:pt idx="40">
                  <c:v>6.15</c:v>
                </c:pt>
              </c:numCache>
            </c:numRef>
          </c:val>
          <c:smooth val="0"/>
          <c:extLst>
            <c:ext xmlns:c16="http://schemas.microsoft.com/office/drawing/2014/chart" uri="{C3380CC4-5D6E-409C-BE32-E72D297353CC}">
              <c16:uniqueId val="{00000001-0FF7-4F62-8AE1-05BA3041EF76}"/>
            </c:ext>
          </c:extLst>
        </c:ser>
        <c:ser>
          <c:idx val="2"/>
          <c:order val="2"/>
          <c:tx>
            <c:strRef>
              <c:f>Sheet1!$T$64</c:f>
              <c:strCache>
                <c:ptCount val="1"/>
                <c:pt idx="0">
                  <c:v>NZ European</c:v>
                </c:pt>
              </c:strCache>
            </c:strRef>
          </c:tx>
          <c:spPr>
            <a:ln w="28575" cap="rnd">
              <a:solidFill>
                <a:schemeClr val="accent3"/>
              </a:solidFill>
              <a:round/>
            </a:ln>
            <a:effectLst/>
          </c:spPr>
          <c:marker>
            <c:symbol val="none"/>
          </c:marker>
          <c:cat>
            <c:strRef>
              <c:f>Sheet1!$Q$65:$Q$105</c:f>
              <c:strCache>
                <c:ptCount val="41"/>
                <c:pt idx="0">
                  <c:v>March 2010</c:v>
                </c:pt>
                <c:pt idx="1">
                  <c:v>June 2010</c:v>
                </c:pt>
                <c:pt idx="2">
                  <c:v>September 2010</c:v>
                </c:pt>
                <c:pt idx="3">
                  <c:v>December 2010</c:v>
                </c:pt>
                <c:pt idx="4">
                  <c:v>March 2011</c:v>
                </c:pt>
                <c:pt idx="5">
                  <c:v>June 2011</c:v>
                </c:pt>
                <c:pt idx="6">
                  <c:v>September 2011</c:v>
                </c:pt>
                <c:pt idx="7">
                  <c:v>December 2011</c:v>
                </c:pt>
                <c:pt idx="8">
                  <c:v>March 2012</c:v>
                </c:pt>
                <c:pt idx="9">
                  <c:v>June 2012</c:v>
                </c:pt>
                <c:pt idx="10">
                  <c:v>September 2012</c:v>
                </c:pt>
                <c:pt idx="11">
                  <c:v>December 2012</c:v>
                </c:pt>
                <c:pt idx="12">
                  <c:v>March 2013</c:v>
                </c:pt>
                <c:pt idx="13">
                  <c:v>June 2013</c:v>
                </c:pt>
                <c:pt idx="14">
                  <c:v>September 2013</c:v>
                </c:pt>
                <c:pt idx="15">
                  <c:v>December 2013</c:v>
                </c:pt>
                <c:pt idx="16">
                  <c:v>March 2014</c:v>
                </c:pt>
                <c:pt idx="17">
                  <c:v>June 2014</c:v>
                </c:pt>
                <c:pt idx="18">
                  <c:v>September 2014</c:v>
                </c:pt>
                <c:pt idx="19">
                  <c:v>December 2014</c:v>
                </c:pt>
                <c:pt idx="20">
                  <c:v>March 2015</c:v>
                </c:pt>
                <c:pt idx="21">
                  <c:v>June 2015</c:v>
                </c:pt>
                <c:pt idx="22">
                  <c:v>September 2015</c:v>
                </c:pt>
                <c:pt idx="23">
                  <c:v>December 2015</c:v>
                </c:pt>
                <c:pt idx="24">
                  <c:v>March 2016</c:v>
                </c:pt>
                <c:pt idx="25">
                  <c:v>June 2016</c:v>
                </c:pt>
                <c:pt idx="26">
                  <c:v>September 2016</c:v>
                </c:pt>
                <c:pt idx="27">
                  <c:v>December 2016</c:v>
                </c:pt>
                <c:pt idx="28">
                  <c:v>March 2017</c:v>
                </c:pt>
                <c:pt idx="29">
                  <c:v>June 2017</c:v>
                </c:pt>
                <c:pt idx="30">
                  <c:v>September 2017</c:v>
                </c:pt>
                <c:pt idx="31">
                  <c:v>December 2017</c:v>
                </c:pt>
                <c:pt idx="32">
                  <c:v>March 2018</c:v>
                </c:pt>
                <c:pt idx="33">
                  <c:v>June 2018</c:v>
                </c:pt>
                <c:pt idx="34">
                  <c:v>September 2018</c:v>
                </c:pt>
                <c:pt idx="35">
                  <c:v>December 2018</c:v>
                </c:pt>
                <c:pt idx="36">
                  <c:v>March 2019</c:v>
                </c:pt>
                <c:pt idx="37">
                  <c:v>June 2019</c:v>
                </c:pt>
                <c:pt idx="38">
                  <c:v>September 2019</c:v>
                </c:pt>
                <c:pt idx="39">
                  <c:v>December 2019</c:v>
                </c:pt>
                <c:pt idx="40">
                  <c:v>March 2020</c:v>
                </c:pt>
              </c:strCache>
            </c:strRef>
          </c:cat>
          <c:val>
            <c:numRef>
              <c:f>Sheet1!$T$65:$T$105</c:f>
              <c:numCache>
                <c:formatCode>"$"###,###,##0</c:formatCode>
                <c:ptCount val="41"/>
                <c:pt idx="0">
                  <c:v>13.9</c:v>
                </c:pt>
                <c:pt idx="1">
                  <c:v>13.85</c:v>
                </c:pt>
                <c:pt idx="2">
                  <c:v>13.65</c:v>
                </c:pt>
                <c:pt idx="3">
                  <c:v>13.5</c:v>
                </c:pt>
                <c:pt idx="4">
                  <c:v>13.45</c:v>
                </c:pt>
                <c:pt idx="5">
                  <c:v>13.6</c:v>
                </c:pt>
                <c:pt idx="6">
                  <c:v>13.7</c:v>
                </c:pt>
                <c:pt idx="7">
                  <c:v>13.65</c:v>
                </c:pt>
                <c:pt idx="8">
                  <c:v>14</c:v>
                </c:pt>
                <c:pt idx="9">
                  <c:v>13.95</c:v>
                </c:pt>
                <c:pt idx="10">
                  <c:v>13.85</c:v>
                </c:pt>
                <c:pt idx="11">
                  <c:v>13.85</c:v>
                </c:pt>
                <c:pt idx="12">
                  <c:v>13.95</c:v>
                </c:pt>
                <c:pt idx="13">
                  <c:v>13.85</c:v>
                </c:pt>
                <c:pt idx="14">
                  <c:v>13.95</c:v>
                </c:pt>
                <c:pt idx="15">
                  <c:v>13.75</c:v>
                </c:pt>
                <c:pt idx="16">
                  <c:v>13.95</c:v>
                </c:pt>
                <c:pt idx="17">
                  <c:v>13.9</c:v>
                </c:pt>
                <c:pt idx="18">
                  <c:v>13.75</c:v>
                </c:pt>
                <c:pt idx="19">
                  <c:v>13.55</c:v>
                </c:pt>
                <c:pt idx="20">
                  <c:v>13.6</c:v>
                </c:pt>
                <c:pt idx="21">
                  <c:v>13.45</c:v>
                </c:pt>
                <c:pt idx="22">
                  <c:v>13.35</c:v>
                </c:pt>
                <c:pt idx="23">
                  <c:v>13.2</c:v>
                </c:pt>
                <c:pt idx="24">
                  <c:v>13.3</c:v>
                </c:pt>
                <c:pt idx="25">
                  <c:v>13.4</c:v>
                </c:pt>
                <c:pt idx="26">
                  <c:v>13.38</c:v>
                </c:pt>
                <c:pt idx="27">
                  <c:v>13.3</c:v>
                </c:pt>
                <c:pt idx="28">
                  <c:v>13.4</c:v>
                </c:pt>
                <c:pt idx="29">
                  <c:v>13.35</c:v>
                </c:pt>
                <c:pt idx="30">
                  <c:v>13.4</c:v>
                </c:pt>
                <c:pt idx="31">
                  <c:v>13.35</c:v>
                </c:pt>
                <c:pt idx="32">
                  <c:v>13.4</c:v>
                </c:pt>
                <c:pt idx="33">
                  <c:v>13.35</c:v>
                </c:pt>
                <c:pt idx="34">
                  <c:v>13.5</c:v>
                </c:pt>
                <c:pt idx="35">
                  <c:v>13.45</c:v>
                </c:pt>
                <c:pt idx="36">
                  <c:v>13.6</c:v>
                </c:pt>
                <c:pt idx="37">
                  <c:v>13.65</c:v>
                </c:pt>
                <c:pt idx="38">
                  <c:v>13.55</c:v>
                </c:pt>
                <c:pt idx="39">
                  <c:v>13.6</c:v>
                </c:pt>
                <c:pt idx="40">
                  <c:v>13.65</c:v>
                </c:pt>
              </c:numCache>
            </c:numRef>
          </c:val>
          <c:smooth val="0"/>
          <c:extLst>
            <c:ext xmlns:c16="http://schemas.microsoft.com/office/drawing/2014/chart" uri="{C3380CC4-5D6E-409C-BE32-E72D297353CC}">
              <c16:uniqueId val="{00000002-0FF7-4F62-8AE1-05BA3041EF76}"/>
            </c:ext>
          </c:extLst>
        </c:ser>
        <c:ser>
          <c:idx val="3"/>
          <c:order val="3"/>
          <c:tx>
            <c:strRef>
              <c:f>Sheet1!$U$64</c:f>
              <c:strCache>
                <c:ptCount val="1"/>
                <c:pt idx="0">
                  <c:v>Other</c:v>
                </c:pt>
              </c:strCache>
            </c:strRef>
          </c:tx>
          <c:spPr>
            <a:ln w="28575" cap="rnd">
              <a:solidFill>
                <a:schemeClr val="accent4"/>
              </a:solidFill>
              <a:round/>
            </a:ln>
            <a:effectLst/>
          </c:spPr>
          <c:marker>
            <c:symbol val="none"/>
          </c:marker>
          <c:cat>
            <c:strRef>
              <c:f>Sheet1!$Q$65:$Q$105</c:f>
              <c:strCache>
                <c:ptCount val="41"/>
                <c:pt idx="0">
                  <c:v>March 2010</c:v>
                </c:pt>
                <c:pt idx="1">
                  <c:v>June 2010</c:v>
                </c:pt>
                <c:pt idx="2">
                  <c:v>September 2010</c:v>
                </c:pt>
                <c:pt idx="3">
                  <c:v>December 2010</c:v>
                </c:pt>
                <c:pt idx="4">
                  <c:v>March 2011</c:v>
                </c:pt>
                <c:pt idx="5">
                  <c:v>June 2011</c:v>
                </c:pt>
                <c:pt idx="6">
                  <c:v>September 2011</c:v>
                </c:pt>
                <c:pt idx="7">
                  <c:v>December 2011</c:v>
                </c:pt>
                <c:pt idx="8">
                  <c:v>March 2012</c:v>
                </c:pt>
                <c:pt idx="9">
                  <c:v>June 2012</c:v>
                </c:pt>
                <c:pt idx="10">
                  <c:v>September 2012</c:v>
                </c:pt>
                <c:pt idx="11">
                  <c:v>December 2012</c:v>
                </c:pt>
                <c:pt idx="12">
                  <c:v>March 2013</c:v>
                </c:pt>
                <c:pt idx="13">
                  <c:v>June 2013</c:v>
                </c:pt>
                <c:pt idx="14">
                  <c:v>September 2013</c:v>
                </c:pt>
                <c:pt idx="15">
                  <c:v>December 2013</c:v>
                </c:pt>
                <c:pt idx="16">
                  <c:v>March 2014</c:v>
                </c:pt>
                <c:pt idx="17">
                  <c:v>June 2014</c:v>
                </c:pt>
                <c:pt idx="18">
                  <c:v>September 2014</c:v>
                </c:pt>
                <c:pt idx="19">
                  <c:v>December 2014</c:v>
                </c:pt>
                <c:pt idx="20">
                  <c:v>March 2015</c:v>
                </c:pt>
                <c:pt idx="21">
                  <c:v>June 2015</c:v>
                </c:pt>
                <c:pt idx="22">
                  <c:v>September 2015</c:v>
                </c:pt>
                <c:pt idx="23">
                  <c:v>December 2015</c:v>
                </c:pt>
                <c:pt idx="24">
                  <c:v>March 2016</c:v>
                </c:pt>
                <c:pt idx="25">
                  <c:v>June 2016</c:v>
                </c:pt>
                <c:pt idx="26">
                  <c:v>September 2016</c:v>
                </c:pt>
                <c:pt idx="27">
                  <c:v>December 2016</c:v>
                </c:pt>
                <c:pt idx="28">
                  <c:v>March 2017</c:v>
                </c:pt>
                <c:pt idx="29">
                  <c:v>June 2017</c:v>
                </c:pt>
                <c:pt idx="30">
                  <c:v>September 2017</c:v>
                </c:pt>
                <c:pt idx="31">
                  <c:v>December 2017</c:v>
                </c:pt>
                <c:pt idx="32">
                  <c:v>March 2018</c:v>
                </c:pt>
                <c:pt idx="33">
                  <c:v>June 2018</c:v>
                </c:pt>
                <c:pt idx="34">
                  <c:v>September 2018</c:v>
                </c:pt>
                <c:pt idx="35">
                  <c:v>December 2018</c:v>
                </c:pt>
                <c:pt idx="36">
                  <c:v>March 2019</c:v>
                </c:pt>
                <c:pt idx="37">
                  <c:v>June 2019</c:v>
                </c:pt>
                <c:pt idx="38">
                  <c:v>September 2019</c:v>
                </c:pt>
                <c:pt idx="39">
                  <c:v>December 2019</c:v>
                </c:pt>
                <c:pt idx="40">
                  <c:v>March 2020</c:v>
                </c:pt>
              </c:strCache>
            </c:strRef>
          </c:cat>
          <c:val>
            <c:numRef>
              <c:f>Sheet1!$U$65:$U$105</c:f>
              <c:numCache>
                <c:formatCode>"$"###,###,##0</c:formatCode>
                <c:ptCount val="41"/>
                <c:pt idx="0">
                  <c:v>10.7</c:v>
                </c:pt>
                <c:pt idx="1">
                  <c:v>10.5</c:v>
                </c:pt>
                <c:pt idx="2">
                  <c:v>10.3</c:v>
                </c:pt>
                <c:pt idx="3">
                  <c:v>10.1</c:v>
                </c:pt>
                <c:pt idx="4">
                  <c:v>10</c:v>
                </c:pt>
                <c:pt idx="5">
                  <c:v>10.15</c:v>
                </c:pt>
                <c:pt idx="6">
                  <c:v>10.1</c:v>
                </c:pt>
                <c:pt idx="7">
                  <c:v>10.15</c:v>
                </c:pt>
                <c:pt idx="8">
                  <c:v>10.050000000000001</c:v>
                </c:pt>
                <c:pt idx="9">
                  <c:v>9.9499999999999993</c:v>
                </c:pt>
                <c:pt idx="10">
                  <c:v>9.9499999999999993</c:v>
                </c:pt>
                <c:pt idx="11">
                  <c:v>9.9</c:v>
                </c:pt>
                <c:pt idx="12">
                  <c:v>9.83</c:v>
                </c:pt>
                <c:pt idx="13">
                  <c:v>9.85</c:v>
                </c:pt>
                <c:pt idx="14">
                  <c:v>9.9</c:v>
                </c:pt>
                <c:pt idx="15">
                  <c:v>9.9499999999999993</c:v>
                </c:pt>
                <c:pt idx="16">
                  <c:v>10</c:v>
                </c:pt>
                <c:pt idx="17">
                  <c:v>9.9499999999999993</c:v>
                </c:pt>
                <c:pt idx="18">
                  <c:v>9.9499999999999993</c:v>
                </c:pt>
                <c:pt idx="19">
                  <c:v>9.9</c:v>
                </c:pt>
                <c:pt idx="20">
                  <c:v>9.8000000000000007</c:v>
                </c:pt>
                <c:pt idx="21">
                  <c:v>9.65</c:v>
                </c:pt>
                <c:pt idx="22">
                  <c:v>9.6</c:v>
                </c:pt>
                <c:pt idx="23">
                  <c:v>9.6</c:v>
                </c:pt>
                <c:pt idx="24">
                  <c:v>9.65</c:v>
                </c:pt>
                <c:pt idx="25">
                  <c:v>9.6999999999999993</c:v>
                </c:pt>
                <c:pt idx="26">
                  <c:v>9.6999999999999993</c:v>
                </c:pt>
                <c:pt idx="27">
                  <c:v>9.6999999999999993</c:v>
                </c:pt>
                <c:pt idx="28">
                  <c:v>9.65</c:v>
                </c:pt>
                <c:pt idx="29">
                  <c:v>9.65</c:v>
                </c:pt>
                <c:pt idx="30">
                  <c:v>9.6999999999999993</c:v>
                </c:pt>
                <c:pt idx="31">
                  <c:v>9.6999999999999993</c:v>
                </c:pt>
                <c:pt idx="32">
                  <c:v>9.8000000000000007</c:v>
                </c:pt>
                <c:pt idx="33">
                  <c:v>9.9</c:v>
                </c:pt>
                <c:pt idx="34">
                  <c:v>9.85</c:v>
                </c:pt>
                <c:pt idx="35">
                  <c:v>9.9499999999999993</c:v>
                </c:pt>
                <c:pt idx="36">
                  <c:v>10.029999999999999</c:v>
                </c:pt>
                <c:pt idx="37">
                  <c:v>9.8000000000000007</c:v>
                </c:pt>
                <c:pt idx="38">
                  <c:v>9.6999999999999993</c:v>
                </c:pt>
                <c:pt idx="39">
                  <c:v>9.6999999999999993</c:v>
                </c:pt>
                <c:pt idx="40">
                  <c:v>9.6999999999999993</c:v>
                </c:pt>
              </c:numCache>
            </c:numRef>
          </c:val>
          <c:smooth val="0"/>
          <c:extLst>
            <c:ext xmlns:c16="http://schemas.microsoft.com/office/drawing/2014/chart" uri="{C3380CC4-5D6E-409C-BE32-E72D297353CC}">
              <c16:uniqueId val="{00000003-0FF7-4F62-8AE1-05BA3041EF76}"/>
            </c:ext>
          </c:extLst>
        </c:ser>
        <c:dLbls>
          <c:showLegendKey val="0"/>
          <c:showVal val="0"/>
          <c:showCatName val="0"/>
          <c:showSerName val="0"/>
          <c:showPercent val="0"/>
          <c:showBubbleSize val="0"/>
        </c:dLbls>
        <c:smooth val="0"/>
        <c:axId val="1527865840"/>
        <c:axId val="1527594272"/>
      </c:lineChart>
      <c:catAx>
        <c:axId val="152786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27594272"/>
        <c:crosses val="autoZero"/>
        <c:auto val="1"/>
        <c:lblAlgn val="ctr"/>
        <c:lblOffset val="100"/>
        <c:noMultiLvlLbl val="0"/>
      </c:catAx>
      <c:valAx>
        <c:axId val="15275942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2786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NZ" sz="1200" b="1">
                <a:solidFill>
                  <a:sysClr val="windowText" lastClr="000000"/>
                </a:solidFill>
                <a:latin typeface="Arial" panose="020B0604020202020204" pitchFamily="34" charset="0"/>
                <a:cs typeface="Arial" panose="020B0604020202020204" pitchFamily="34" charset="0"/>
              </a:rPr>
              <a:t>The percentage of people reporting low trust in 2020</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'[People reporting low trust.xlsx]Sheet1'!$K$122</c:f>
              <c:strCache>
                <c:ptCount val="1"/>
                <c:pt idx="0">
                  <c:v>Trust in people generally</c:v>
                </c:pt>
              </c:strCache>
            </c:strRef>
          </c:tx>
          <c:spPr>
            <a:solidFill>
              <a:schemeClr val="accent6">
                <a:lumMod val="60000"/>
                <a:lumOff val="40000"/>
              </a:schemeClr>
            </a:solidFill>
            <a:ln>
              <a:noFill/>
            </a:ln>
            <a:effectLst/>
          </c:spPr>
          <c:invertIfNegative val="0"/>
          <c:errBars>
            <c:errBarType val="both"/>
            <c:errValType val="cust"/>
            <c:noEndCap val="0"/>
            <c:plus>
              <c:numRef>
                <c:f>'[People reporting low trust.xlsx]Sheet1'!$M$127:$R$127</c:f>
                <c:numCache>
                  <c:formatCode>General</c:formatCode>
                  <c:ptCount val="6"/>
                  <c:pt idx="0">
                    <c:v>2.4E-2</c:v>
                  </c:pt>
                  <c:pt idx="1">
                    <c:v>3.4000000000000002E-2</c:v>
                  </c:pt>
                  <c:pt idx="2">
                    <c:v>5.0999999999999997E-2</c:v>
                  </c:pt>
                  <c:pt idx="3">
                    <c:v>6.0000000000000001E-3</c:v>
                  </c:pt>
                  <c:pt idx="4">
                    <c:v>3.2000000000000001E-2</c:v>
                  </c:pt>
                  <c:pt idx="5">
                    <c:v>4.2999999999999997E-2</c:v>
                  </c:pt>
                </c:numCache>
              </c:numRef>
            </c:plus>
            <c:minus>
              <c:numRef>
                <c:f>'[People reporting low trust.xlsx]Sheet1'!$M$127:$R$127</c:f>
                <c:numCache>
                  <c:formatCode>General</c:formatCode>
                  <c:ptCount val="6"/>
                  <c:pt idx="0">
                    <c:v>2.4E-2</c:v>
                  </c:pt>
                  <c:pt idx="1">
                    <c:v>3.4000000000000002E-2</c:v>
                  </c:pt>
                  <c:pt idx="2">
                    <c:v>5.0999999999999997E-2</c:v>
                  </c:pt>
                  <c:pt idx="3">
                    <c:v>6.0000000000000001E-3</c:v>
                  </c:pt>
                  <c:pt idx="4">
                    <c:v>3.2000000000000001E-2</c:v>
                  </c:pt>
                  <c:pt idx="5">
                    <c:v>4.2999999999999997E-2</c:v>
                  </c:pt>
                </c:numCache>
              </c:numRef>
            </c:minus>
            <c:spPr>
              <a:noFill/>
              <a:ln w="9525" cap="flat" cmpd="sng" algn="ctr">
                <a:solidFill>
                  <a:schemeClr val="tx1">
                    <a:lumMod val="65000"/>
                    <a:lumOff val="35000"/>
                  </a:schemeClr>
                </a:solidFill>
                <a:round/>
              </a:ln>
              <a:effectLst/>
            </c:spPr>
          </c:errBars>
          <c:cat>
            <c:strRef>
              <c:f>'[People reporting low trust.xlsx]Sheet1'!$M$121:$R$121</c:f>
              <c:strCache>
                <c:ptCount val="6"/>
                <c:pt idx="0">
                  <c:v>Māori</c:v>
                </c:pt>
                <c:pt idx="1">
                  <c:v>Pacific peoples</c:v>
                </c:pt>
                <c:pt idx="2">
                  <c:v>Disabled people aged 18 to 64</c:v>
                </c:pt>
                <c:pt idx="3">
                  <c:v>Non-disabled people aged 18 to 64</c:v>
                </c:pt>
                <c:pt idx="4">
                  <c:v>Sole parents</c:v>
                </c:pt>
                <c:pt idx="5">
                  <c:v>People who are unemployed</c:v>
                </c:pt>
              </c:strCache>
            </c:strRef>
          </c:cat>
          <c:val>
            <c:numRef>
              <c:f>'[People reporting low trust.xlsx]Sheet1'!$M$122:$R$122</c:f>
              <c:numCache>
                <c:formatCode>General</c:formatCode>
                <c:ptCount val="6"/>
                <c:pt idx="0">
                  <c:v>0.121</c:v>
                </c:pt>
                <c:pt idx="1">
                  <c:v>0.105</c:v>
                </c:pt>
                <c:pt idx="2">
                  <c:v>0.19</c:v>
                </c:pt>
                <c:pt idx="3">
                  <c:v>6.7000000000000004E-2</c:v>
                </c:pt>
                <c:pt idx="4">
                  <c:v>0.13800000000000001</c:v>
                </c:pt>
                <c:pt idx="5">
                  <c:v>0.13100000000000001</c:v>
                </c:pt>
              </c:numCache>
            </c:numRef>
          </c:val>
          <c:extLst>
            <c:ext xmlns:c16="http://schemas.microsoft.com/office/drawing/2014/chart" uri="{C3380CC4-5D6E-409C-BE32-E72D297353CC}">
              <c16:uniqueId val="{00000000-16D8-470F-9596-4EC14BC20374}"/>
            </c:ext>
          </c:extLst>
        </c:ser>
        <c:ser>
          <c:idx val="1"/>
          <c:order val="1"/>
          <c:tx>
            <c:strRef>
              <c:f>'[People reporting low trust.xlsx]Sheet1'!$K$123</c:f>
              <c:strCache>
                <c:ptCount val="1"/>
                <c:pt idx="0">
                  <c:v>Police</c:v>
                </c:pt>
              </c:strCache>
            </c:strRef>
          </c:tx>
          <c:spPr>
            <a:solidFill>
              <a:schemeClr val="accent5">
                <a:lumMod val="60000"/>
                <a:lumOff val="40000"/>
              </a:schemeClr>
            </a:solidFill>
            <a:ln>
              <a:noFill/>
            </a:ln>
            <a:effectLst/>
          </c:spPr>
          <c:invertIfNegative val="0"/>
          <c:errBars>
            <c:errBarType val="both"/>
            <c:errValType val="cust"/>
            <c:noEndCap val="0"/>
            <c:plus>
              <c:numRef>
                <c:f>'[People reporting low trust.xlsx]Sheet1'!$M$126:$R$126</c:f>
                <c:numCache>
                  <c:formatCode>General</c:formatCode>
                  <c:ptCount val="6"/>
                  <c:pt idx="0">
                    <c:v>0.02</c:v>
                  </c:pt>
                  <c:pt idx="1">
                    <c:v>3.9E-2</c:v>
                  </c:pt>
                  <c:pt idx="2">
                    <c:v>4.8000000000000001E-2</c:v>
                  </c:pt>
                  <c:pt idx="3">
                    <c:v>6.0000000000000001E-3</c:v>
                  </c:pt>
                  <c:pt idx="4">
                    <c:v>2.4E-2</c:v>
                  </c:pt>
                  <c:pt idx="5">
                    <c:v>4.7E-2</c:v>
                  </c:pt>
                </c:numCache>
              </c:numRef>
            </c:plus>
            <c:minus>
              <c:numRef>
                <c:f>'[People reporting low trust.xlsx]Sheet1'!$M$126:$R$126</c:f>
                <c:numCache>
                  <c:formatCode>General</c:formatCode>
                  <c:ptCount val="6"/>
                  <c:pt idx="0">
                    <c:v>0.02</c:v>
                  </c:pt>
                  <c:pt idx="1">
                    <c:v>3.9E-2</c:v>
                  </c:pt>
                  <c:pt idx="2">
                    <c:v>4.8000000000000001E-2</c:v>
                  </c:pt>
                  <c:pt idx="3">
                    <c:v>6.0000000000000001E-3</c:v>
                  </c:pt>
                  <c:pt idx="4">
                    <c:v>2.4E-2</c:v>
                  </c:pt>
                  <c:pt idx="5">
                    <c:v>4.7E-2</c:v>
                  </c:pt>
                </c:numCache>
              </c:numRef>
            </c:minus>
            <c:spPr>
              <a:noFill/>
              <a:ln w="9525" cap="flat" cmpd="sng" algn="ctr">
                <a:solidFill>
                  <a:schemeClr val="tx1">
                    <a:lumMod val="65000"/>
                    <a:lumOff val="35000"/>
                  </a:schemeClr>
                </a:solidFill>
                <a:round/>
              </a:ln>
              <a:effectLst/>
            </c:spPr>
          </c:errBars>
          <c:cat>
            <c:strRef>
              <c:f>'[People reporting low trust.xlsx]Sheet1'!$M$121:$R$121</c:f>
              <c:strCache>
                <c:ptCount val="6"/>
                <c:pt idx="0">
                  <c:v>Māori</c:v>
                </c:pt>
                <c:pt idx="1">
                  <c:v>Pacific peoples</c:v>
                </c:pt>
                <c:pt idx="2">
                  <c:v>Disabled people aged 18 to 64</c:v>
                </c:pt>
                <c:pt idx="3">
                  <c:v>Non-disabled people aged 18 to 64</c:v>
                </c:pt>
                <c:pt idx="4">
                  <c:v>Sole parents</c:v>
                </c:pt>
                <c:pt idx="5">
                  <c:v>People who are unemployed</c:v>
                </c:pt>
              </c:strCache>
            </c:strRef>
          </c:cat>
          <c:val>
            <c:numRef>
              <c:f>'[People reporting low trust.xlsx]Sheet1'!$M$123:$R$123</c:f>
              <c:numCache>
                <c:formatCode>General</c:formatCode>
                <c:ptCount val="6"/>
                <c:pt idx="0">
                  <c:v>7.9000000000000001E-2</c:v>
                </c:pt>
                <c:pt idx="1">
                  <c:v>8.5999999999999993E-2</c:v>
                </c:pt>
                <c:pt idx="2">
                  <c:v>0.16300000000000001</c:v>
                </c:pt>
                <c:pt idx="3">
                  <c:v>4.3999999999999997E-2</c:v>
                </c:pt>
                <c:pt idx="4">
                  <c:v>8.8000000000000009E-2</c:v>
                </c:pt>
                <c:pt idx="5">
                  <c:v>0.114</c:v>
                </c:pt>
              </c:numCache>
            </c:numRef>
          </c:val>
          <c:extLst>
            <c:ext xmlns:c16="http://schemas.microsoft.com/office/drawing/2014/chart" uri="{C3380CC4-5D6E-409C-BE32-E72D297353CC}">
              <c16:uniqueId val="{00000001-16D8-470F-9596-4EC14BC20374}"/>
            </c:ext>
          </c:extLst>
        </c:ser>
        <c:ser>
          <c:idx val="2"/>
          <c:order val="2"/>
          <c:tx>
            <c:strRef>
              <c:f>'[People reporting low trust.xlsx]Sheet1'!$K$124</c:f>
              <c:strCache>
                <c:ptCount val="1"/>
                <c:pt idx="0">
                  <c:v>Health system</c:v>
                </c:pt>
              </c:strCache>
            </c:strRef>
          </c:tx>
          <c:spPr>
            <a:solidFill>
              <a:schemeClr val="accent2">
                <a:lumMod val="60000"/>
                <a:lumOff val="40000"/>
              </a:schemeClr>
            </a:solidFill>
            <a:ln>
              <a:noFill/>
            </a:ln>
            <a:effectLst/>
          </c:spPr>
          <c:invertIfNegative val="0"/>
          <c:errBars>
            <c:errBarType val="both"/>
            <c:errValType val="cust"/>
            <c:noEndCap val="0"/>
            <c:plus>
              <c:numRef>
                <c:f>'[People reporting low trust.xlsx]Sheet1'!$M$125:$R$125</c:f>
                <c:numCache>
                  <c:formatCode>General</c:formatCode>
                  <c:ptCount val="6"/>
                  <c:pt idx="0">
                    <c:v>2.6000000000000002E-2</c:v>
                  </c:pt>
                  <c:pt idx="1">
                    <c:v>2.6000000000000002E-2</c:v>
                  </c:pt>
                  <c:pt idx="2">
                    <c:v>5.5999999999999994E-2</c:v>
                  </c:pt>
                  <c:pt idx="3">
                    <c:v>6.9999999999999993E-3</c:v>
                  </c:pt>
                  <c:pt idx="4">
                    <c:v>3.5000000000000003E-2</c:v>
                  </c:pt>
                  <c:pt idx="5">
                    <c:v>4.5999999999999999E-2</c:v>
                  </c:pt>
                </c:numCache>
              </c:numRef>
            </c:plus>
            <c:minus>
              <c:numRef>
                <c:f>'[People reporting low trust.xlsx]Sheet1'!$M$125:$R$125</c:f>
                <c:numCache>
                  <c:formatCode>General</c:formatCode>
                  <c:ptCount val="6"/>
                  <c:pt idx="0">
                    <c:v>2.6000000000000002E-2</c:v>
                  </c:pt>
                  <c:pt idx="1">
                    <c:v>2.6000000000000002E-2</c:v>
                  </c:pt>
                  <c:pt idx="2">
                    <c:v>5.5999999999999994E-2</c:v>
                  </c:pt>
                  <c:pt idx="3">
                    <c:v>6.9999999999999993E-3</c:v>
                  </c:pt>
                  <c:pt idx="4">
                    <c:v>3.5000000000000003E-2</c:v>
                  </c:pt>
                  <c:pt idx="5">
                    <c:v>4.5999999999999999E-2</c:v>
                  </c:pt>
                </c:numCache>
              </c:numRef>
            </c:minus>
            <c:spPr>
              <a:noFill/>
              <a:ln w="9525" cap="flat" cmpd="sng" algn="ctr">
                <a:solidFill>
                  <a:schemeClr val="tx1">
                    <a:lumMod val="65000"/>
                    <a:lumOff val="35000"/>
                  </a:schemeClr>
                </a:solidFill>
                <a:round/>
              </a:ln>
              <a:effectLst/>
            </c:spPr>
          </c:errBars>
          <c:cat>
            <c:strRef>
              <c:f>'[People reporting low trust.xlsx]Sheet1'!$M$121:$R$121</c:f>
              <c:strCache>
                <c:ptCount val="6"/>
                <c:pt idx="0">
                  <c:v>Māori</c:v>
                </c:pt>
                <c:pt idx="1">
                  <c:v>Pacific peoples</c:v>
                </c:pt>
                <c:pt idx="2">
                  <c:v>Disabled people aged 18 to 64</c:v>
                </c:pt>
                <c:pt idx="3">
                  <c:v>Non-disabled people aged 18 to 64</c:v>
                </c:pt>
                <c:pt idx="4">
                  <c:v>Sole parents</c:v>
                </c:pt>
                <c:pt idx="5">
                  <c:v>People who are unemployed</c:v>
                </c:pt>
              </c:strCache>
            </c:strRef>
          </c:cat>
          <c:val>
            <c:numRef>
              <c:f>'[People reporting low trust.xlsx]Sheet1'!$M$124:$R$124</c:f>
              <c:numCache>
                <c:formatCode>General</c:formatCode>
                <c:ptCount val="6"/>
                <c:pt idx="0">
                  <c:v>0.111</c:v>
                </c:pt>
                <c:pt idx="1">
                  <c:v>5.8999999999999997E-2</c:v>
                </c:pt>
                <c:pt idx="2">
                  <c:v>0.20799999999999999</c:v>
                </c:pt>
                <c:pt idx="3">
                  <c:v>6.9000000000000006E-2</c:v>
                </c:pt>
                <c:pt idx="4">
                  <c:v>0.12</c:v>
                </c:pt>
                <c:pt idx="5">
                  <c:v>0.12</c:v>
                </c:pt>
              </c:numCache>
            </c:numRef>
          </c:val>
          <c:extLst>
            <c:ext xmlns:c16="http://schemas.microsoft.com/office/drawing/2014/chart" uri="{C3380CC4-5D6E-409C-BE32-E72D297353CC}">
              <c16:uniqueId val="{00000002-16D8-470F-9596-4EC14BC20374}"/>
            </c:ext>
          </c:extLst>
        </c:ser>
        <c:dLbls>
          <c:showLegendKey val="0"/>
          <c:showVal val="0"/>
          <c:showCatName val="0"/>
          <c:showSerName val="0"/>
          <c:showPercent val="0"/>
          <c:showBubbleSize val="0"/>
        </c:dLbls>
        <c:gapWidth val="219"/>
        <c:overlap val="-27"/>
        <c:axId val="792411759"/>
        <c:axId val="623528063"/>
      </c:barChart>
      <c:catAx>
        <c:axId val="792411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3528063"/>
        <c:crosses val="autoZero"/>
        <c:auto val="1"/>
        <c:lblAlgn val="ctr"/>
        <c:lblOffset val="100"/>
        <c:noMultiLvlLbl val="0"/>
      </c:catAx>
      <c:valAx>
        <c:axId val="6235280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9241175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693B-9302-4E6C-B736-96419C89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CCS Disability Action</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Murray</dc:creator>
  <cp:lastModifiedBy>Mojo Mathers</cp:lastModifiedBy>
  <cp:revision>2</cp:revision>
  <cp:lastPrinted>2020-11-03T19:10:00Z</cp:lastPrinted>
  <dcterms:created xsi:type="dcterms:W3CDTF">2020-11-05T22:52:00Z</dcterms:created>
  <dcterms:modified xsi:type="dcterms:W3CDTF">2020-11-05T22:52:00Z</dcterms:modified>
</cp:coreProperties>
</file>