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8DAE" w14:textId="77777777" w:rsidR="00AE4014" w:rsidRDefault="00E9361D">
      <w:pPr>
        <w:rPr>
          <w:rFonts w:cstheme="minorHAnsi"/>
        </w:rPr>
      </w:pPr>
      <w:r w:rsidRPr="00E9361D">
        <w:rPr>
          <w:rFonts w:cstheme="minorHAnsi"/>
        </w:rPr>
        <w:t xml:space="preserve">Vaccine sequencing framework table: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737"/>
        <w:gridCol w:w="2235"/>
        <w:gridCol w:w="11482"/>
      </w:tblGrid>
      <w:tr w:rsidR="00864E77" w:rsidRPr="00E9361D" w14:paraId="1DC5DDCD" w14:textId="77777777" w:rsidTr="00C62447">
        <w:tc>
          <w:tcPr>
            <w:tcW w:w="737" w:type="dxa"/>
          </w:tcPr>
          <w:p w14:paraId="6239248D" w14:textId="77777777" w:rsidR="00864E77" w:rsidRPr="00E9361D" w:rsidRDefault="00864E77">
            <w:pPr>
              <w:rPr>
                <w:rFonts w:cstheme="minorHAnsi"/>
                <w:b/>
              </w:rPr>
            </w:pPr>
            <w:r w:rsidRPr="00C62447">
              <w:rPr>
                <w:rFonts w:cstheme="minorHAnsi"/>
                <w:b/>
                <w:sz w:val="20"/>
              </w:rPr>
              <w:t>Group</w:t>
            </w:r>
          </w:p>
        </w:tc>
        <w:tc>
          <w:tcPr>
            <w:tcW w:w="2235" w:type="dxa"/>
          </w:tcPr>
          <w:p w14:paraId="453C14FB" w14:textId="77777777" w:rsidR="00864E77" w:rsidRPr="00E9361D" w:rsidRDefault="00864E77">
            <w:pPr>
              <w:rPr>
                <w:rFonts w:cstheme="minorHAnsi"/>
              </w:rPr>
            </w:pPr>
          </w:p>
        </w:tc>
        <w:tc>
          <w:tcPr>
            <w:tcW w:w="11482" w:type="dxa"/>
          </w:tcPr>
          <w:p w14:paraId="2CFDC045" w14:textId="77777777" w:rsidR="00864E77" w:rsidRPr="0073647F" w:rsidRDefault="00864E77" w:rsidP="0073647F">
            <w:pPr>
              <w:rPr>
                <w:rFonts w:cstheme="minorHAnsi"/>
                <w:i/>
              </w:rPr>
            </w:pPr>
            <w:r w:rsidRPr="00864E77">
              <w:rPr>
                <w:rFonts w:cstheme="minorHAnsi"/>
                <w:b/>
              </w:rPr>
              <w:t>Definition</w:t>
            </w:r>
            <w:r>
              <w:rPr>
                <w:rFonts w:cstheme="minorHAnsi"/>
                <w:b/>
              </w:rPr>
              <w:t xml:space="preserve"> </w:t>
            </w:r>
            <w:r w:rsidR="0073647F">
              <w:rPr>
                <w:rFonts w:cstheme="minorHAnsi"/>
                <w:b/>
              </w:rPr>
              <w:t xml:space="preserve">   </w:t>
            </w:r>
            <w:r w:rsidR="00476D7C">
              <w:rPr>
                <w:rFonts w:cstheme="minorHAnsi"/>
                <w:b/>
                <w:sz w:val="16"/>
              </w:rPr>
              <w:t xml:space="preserve">~ </w:t>
            </w:r>
            <w:r w:rsidR="0073647F" w:rsidRPr="0073647F">
              <w:rPr>
                <w:rFonts w:cstheme="minorHAnsi"/>
                <w:i/>
                <w:sz w:val="18"/>
              </w:rPr>
              <w:t xml:space="preserve">Population group figures are approximate, based on relevant DHB or census data for </w:t>
            </w:r>
            <w:r w:rsidR="0073647F">
              <w:rPr>
                <w:rFonts w:cstheme="minorHAnsi"/>
                <w:i/>
                <w:sz w:val="18"/>
              </w:rPr>
              <w:t xml:space="preserve">people </w:t>
            </w:r>
            <w:r w:rsidR="0073647F" w:rsidRPr="0073647F">
              <w:rPr>
                <w:rFonts w:cstheme="minorHAnsi"/>
                <w:i/>
                <w:sz w:val="18"/>
              </w:rPr>
              <w:t>over 16</w:t>
            </w:r>
            <w:r w:rsidR="000D2093">
              <w:rPr>
                <w:rFonts w:cstheme="minorHAnsi"/>
                <w:i/>
                <w:sz w:val="18"/>
              </w:rPr>
              <w:t xml:space="preserve"> </w:t>
            </w:r>
            <w:r w:rsidR="0073647F" w:rsidRPr="0073647F">
              <w:rPr>
                <w:rFonts w:cstheme="minorHAnsi"/>
                <w:i/>
                <w:sz w:val="18"/>
              </w:rPr>
              <w:t>years</w:t>
            </w:r>
            <w:r w:rsidR="0073647F">
              <w:rPr>
                <w:rFonts w:cstheme="minorHAnsi"/>
                <w:i/>
              </w:rPr>
              <w:t xml:space="preserve">. </w:t>
            </w:r>
          </w:p>
        </w:tc>
      </w:tr>
      <w:tr w:rsidR="00864E77" w:rsidRPr="00E9361D" w14:paraId="49A4CD03" w14:textId="77777777" w:rsidTr="00C62447">
        <w:tc>
          <w:tcPr>
            <w:tcW w:w="737" w:type="dxa"/>
          </w:tcPr>
          <w:p w14:paraId="4ADAC6EE" w14:textId="77777777" w:rsidR="00864E77" w:rsidRPr="00E9361D" w:rsidRDefault="00864E77">
            <w:pPr>
              <w:rPr>
                <w:rFonts w:cstheme="minorHAnsi"/>
                <w:b/>
              </w:rPr>
            </w:pPr>
            <w:r w:rsidRPr="00E9361D">
              <w:rPr>
                <w:rFonts w:cstheme="minorHAnsi"/>
                <w:b/>
              </w:rPr>
              <w:t>1</w:t>
            </w:r>
          </w:p>
        </w:tc>
        <w:tc>
          <w:tcPr>
            <w:tcW w:w="2235" w:type="dxa"/>
          </w:tcPr>
          <w:p w14:paraId="460E80E9" w14:textId="77777777" w:rsidR="00864E77" w:rsidRPr="00E9361D" w:rsidRDefault="00864E77">
            <w:pPr>
              <w:rPr>
                <w:rFonts w:cstheme="minorHAnsi"/>
              </w:rPr>
            </w:pPr>
          </w:p>
        </w:tc>
        <w:tc>
          <w:tcPr>
            <w:tcW w:w="11482" w:type="dxa"/>
          </w:tcPr>
          <w:p w14:paraId="35744C6D" w14:textId="77777777" w:rsidR="00864E77" w:rsidRPr="00F526EA" w:rsidRDefault="00864E77">
            <w:pPr>
              <w:rPr>
                <w:rFonts w:cstheme="minorHAnsi"/>
              </w:rPr>
            </w:pPr>
          </w:p>
        </w:tc>
      </w:tr>
      <w:tr w:rsidR="00864E77" w:rsidRPr="00E9361D" w14:paraId="3EEA1FE2" w14:textId="77777777" w:rsidTr="00C62447">
        <w:tc>
          <w:tcPr>
            <w:tcW w:w="737" w:type="dxa"/>
          </w:tcPr>
          <w:p w14:paraId="5259B6A5" w14:textId="77777777" w:rsidR="00864E77" w:rsidRPr="00E9361D" w:rsidRDefault="00C6244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1.a</w:t>
            </w:r>
          </w:p>
        </w:tc>
        <w:tc>
          <w:tcPr>
            <w:tcW w:w="2235" w:type="dxa"/>
          </w:tcPr>
          <w:p w14:paraId="56C0A784" w14:textId="77777777" w:rsidR="00864E77" w:rsidRDefault="00C62447">
            <w:pPr>
              <w:rPr>
                <w:rFonts w:cstheme="minorHAnsi"/>
              </w:rPr>
            </w:pPr>
            <w:r>
              <w:rPr>
                <w:rFonts w:cstheme="minorHAnsi"/>
              </w:rPr>
              <w:t>Border/MIQ workforce</w:t>
            </w:r>
          </w:p>
        </w:tc>
        <w:tc>
          <w:tcPr>
            <w:tcW w:w="11482" w:type="dxa"/>
          </w:tcPr>
          <w:p w14:paraId="37E7490C" w14:textId="77777777" w:rsidR="00864E77" w:rsidRDefault="00C95684" w:rsidP="00F526EA">
            <w:pPr>
              <w:rPr>
                <w:rFonts w:cstheme="minorHAnsi"/>
              </w:rPr>
            </w:pPr>
            <w:r>
              <w:rPr>
                <w:rFonts w:cstheme="minorHAnsi"/>
              </w:rPr>
              <w:t>Approx. 15</w:t>
            </w:r>
            <w:r w:rsidR="00864E77">
              <w:rPr>
                <w:rFonts w:cstheme="minorHAnsi"/>
              </w:rPr>
              <w:t>,000 border and MIQ workers</w:t>
            </w:r>
          </w:p>
        </w:tc>
      </w:tr>
      <w:tr w:rsidR="00864E77" w:rsidRPr="00E9361D" w14:paraId="13E40F9F" w14:textId="77777777" w:rsidTr="00C62447">
        <w:tc>
          <w:tcPr>
            <w:tcW w:w="737" w:type="dxa"/>
          </w:tcPr>
          <w:p w14:paraId="36D608BA" w14:textId="77777777" w:rsidR="00864E77" w:rsidRPr="00E9361D" w:rsidRDefault="00C6244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1.b</w:t>
            </w:r>
          </w:p>
        </w:tc>
        <w:tc>
          <w:tcPr>
            <w:tcW w:w="2235" w:type="dxa"/>
          </w:tcPr>
          <w:p w14:paraId="4C19A96D" w14:textId="77777777" w:rsidR="00864E77" w:rsidRPr="00E9361D" w:rsidRDefault="00C62447">
            <w:pPr>
              <w:rPr>
                <w:rFonts w:cstheme="minorHAnsi"/>
              </w:rPr>
            </w:pPr>
            <w:r>
              <w:rPr>
                <w:rFonts w:cstheme="minorHAnsi"/>
              </w:rPr>
              <w:t>Families and household contacts</w:t>
            </w:r>
          </w:p>
        </w:tc>
        <w:tc>
          <w:tcPr>
            <w:tcW w:w="11482" w:type="dxa"/>
          </w:tcPr>
          <w:p w14:paraId="0F859CFB" w14:textId="77777777" w:rsidR="00864E77" w:rsidRPr="00E9361D" w:rsidRDefault="00476D7C" w:rsidP="00F526EA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864E77">
              <w:rPr>
                <w:rFonts w:cstheme="minorHAnsi"/>
              </w:rPr>
              <w:t>pprox.</w:t>
            </w:r>
            <w:r w:rsidR="001662F1">
              <w:rPr>
                <w:rFonts w:cstheme="minorHAnsi"/>
              </w:rPr>
              <w:t xml:space="preserve"> 4</w:t>
            </w:r>
            <w:r w:rsidR="00864E77">
              <w:rPr>
                <w:rFonts w:cstheme="minorHAnsi"/>
              </w:rPr>
              <w:t>0,000 family members and household contacts of border and MIQ workers</w:t>
            </w:r>
          </w:p>
        </w:tc>
      </w:tr>
      <w:tr w:rsidR="00864E77" w:rsidRPr="00E9361D" w14:paraId="66B26C06" w14:textId="77777777" w:rsidTr="00C62447">
        <w:tc>
          <w:tcPr>
            <w:tcW w:w="737" w:type="dxa"/>
          </w:tcPr>
          <w:p w14:paraId="2F37F059" w14:textId="77777777" w:rsidR="00864E77" w:rsidRPr="00E9361D" w:rsidRDefault="00864E77">
            <w:pPr>
              <w:rPr>
                <w:rFonts w:cstheme="minorHAnsi"/>
                <w:b/>
              </w:rPr>
            </w:pPr>
            <w:r w:rsidRPr="00E9361D">
              <w:rPr>
                <w:rFonts w:cstheme="minorHAnsi"/>
                <w:b/>
              </w:rPr>
              <w:t>2</w:t>
            </w:r>
          </w:p>
        </w:tc>
        <w:tc>
          <w:tcPr>
            <w:tcW w:w="2235" w:type="dxa"/>
          </w:tcPr>
          <w:p w14:paraId="100C58E8" w14:textId="77777777" w:rsidR="00864E77" w:rsidRPr="00E9361D" w:rsidRDefault="00864E77">
            <w:pPr>
              <w:rPr>
                <w:rFonts w:cstheme="minorHAnsi"/>
              </w:rPr>
            </w:pPr>
          </w:p>
        </w:tc>
        <w:tc>
          <w:tcPr>
            <w:tcW w:w="11482" w:type="dxa"/>
          </w:tcPr>
          <w:p w14:paraId="44BB7633" w14:textId="77777777" w:rsidR="00864E77" w:rsidRPr="00E9361D" w:rsidRDefault="00864E77">
            <w:pPr>
              <w:rPr>
                <w:rFonts w:cstheme="minorHAnsi"/>
              </w:rPr>
            </w:pPr>
          </w:p>
        </w:tc>
      </w:tr>
      <w:tr w:rsidR="00864E77" w:rsidRPr="00E9361D" w14:paraId="2F2B5DA3" w14:textId="77777777" w:rsidTr="00C62447">
        <w:tc>
          <w:tcPr>
            <w:tcW w:w="737" w:type="dxa"/>
          </w:tcPr>
          <w:p w14:paraId="65E718CA" w14:textId="77777777" w:rsidR="00864E77" w:rsidRPr="00E9361D" w:rsidRDefault="00C62447">
            <w:pPr>
              <w:rPr>
                <w:rFonts w:cstheme="minorHAnsi"/>
              </w:rPr>
            </w:pPr>
            <w:r w:rsidRPr="00E9361D">
              <w:rPr>
                <w:rFonts w:cstheme="minorHAnsi"/>
              </w:rPr>
              <w:t>2.a</w:t>
            </w:r>
          </w:p>
        </w:tc>
        <w:tc>
          <w:tcPr>
            <w:tcW w:w="2235" w:type="dxa"/>
          </w:tcPr>
          <w:p w14:paraId="6DAEEBD3" w14:textId="77777777" w:rsidR="00864E77" w:rsidRPr="00E9361D" w:rsidRDefault="00C624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Frontline healthcare workers (non-border) who could be exposed to COVID-19 while providing care </w:t>
            </w:r>
          </w:p>
        </w:tc>
        <w:tc>
          <w:tcPr>
            <w:tcW w:w="11482" w:type="dxa"/>
          </w:tcPr>
          <w:p w14:paraId="6A99F3D0" w14:textId="77777777" w:rsidR="00864E77" w:rsidRPr="00E9361D" w:rsidRDefault="00864E77" w:rsidP="00F526EA">
            <w:pPr>
              <w:rPr>
                <w:rFonts w:cstheme="minorHAnsi"/>
              </w:rPr>
            </w:pPr>
            <w:r>
              <w:rPr>
                <w:rFonts w:cstheme="minorHAnsi"/>
              </w:rPr>
              <w:t>Approx. 57,000 f</w:t>
            </w:r>
            <w:r w:rsidRPr="00E9361D">
              <w:rPr>
                <w:rFonts w:cstheme="minorHAnsi"/>
              </w:rPr>
              <w:t>rontline (non-border) health workers who could potentially be exposed to COVID-19 while providing care.</w:t>
            </w:r>
          </w:p>
        </w:tc>
      </w:tr>
      <w:tr w:rsidR="00476D7C" w:rsidRPr="00E9361D" w14:paraId="6B4C9ECE" w14:textId="77777777" w:rsidTr="00C62447">
        <w:tc>
          <w:tcPr>
            <w:tcW w:w="737" w:type="dxa"/>
            <w:vMerge w:val="restart"/>
          </w:tcPr>
          <w:p w14:paraId="2DB3FF59" w14:textId="77777777" w:rsidR="00476D7C" w:rsidRPr="00E9361D" w:rsidRDefault="00476D7C">
            <w:pPr>
              <w:rPr>
                <w:rFonts w:cstheme="minorHAnsi"/>
              </w:rPr>
            </w:pPr>
            <w:r>
              <w:rPr>
                <w:rFonts w:cstheme="minorHAnsi"/>
              </w:rPr>
              <w:t>2.b</w:t>
            </w:r>
          </w:p>
        </w:tc>
        <w:tc>
          <w:tcPr>
            <w:tcW w:w="2235" w:type="dxa"/>
          </w:tcPr>
          <w:p w14:paraId="6D57B798" w14:textId="77777777" w:rsidR="00476D7C" w:rsidRPr="00E9361D" w:rsidRDefault="00476D7C">
            <w:pPr>
              <w:rPr>
                <w:rFonts w:cstheme="minorHAnsi"/>
              </w:rPr>
            </w:pPr>
            <w:r>
              <w:rPr>
                <w:rFonts w:cstheme="minorHAnsi"/>
              </w:rPr>
              <w:t>Frontline healthcare workers who may expose vulnerable people to COVID-19</w:t>
            </w:r>
          </w:p>
        </w:tc>
        <w:tc>
          <w:tcPr>
            <w:tcW w:w="11482" w:type="dxa"/>
          </w:tcPr>
          <w:p w14:paraId="592B403F" w14:textId="77777777" w:rsidR="00476D7C" w:rsidRDefault="00476D7C" w:rsidP="00C32E6C">
            <w:pPr>
              <w:rPr>
                <w:rFonts w:cstheme="minorHAnsi"/>
              </w:rPr>
            </w:pPr>
            <w:r>
              <w:rPr>
                <w:rFonts w:cstheme="minorHAnsi"/>
              </w:rPr>
              <w:t>Approx. 183,000 frontline healthcare workers including emergency services and hospitals, long-term residential care, hospice</w:t>
            </w:r>
            <w:r w:rsidR="00C32E6C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, </w:t>
            </w:r>
            <w:r w:rsidR="00C32E6C">
              <w:rPr>
                <w:rFonts w:cstheme="minorHAnsi"/>
              </w:rPr>
              <w:t>Oranga Tamariki and Youth Justice</w:t>
            </w:r>
            <w:r>
              <w:rPr>
                <w:rFonts w:cstheme="minorHAnsi"/>
              </w:rPr>
              <w:t>, Corrections, Defence, mental health and addiction services,</w:t>
            </w:r>
            <w:r w:rsidR="00C32E6C">
              <w:rPr>
                <w:rFonts w:cstheme="minorHAnsi"/>
              </w:rPr>
              <w:t xml:space="preserve"> transitional residences for the homeless,</w:t>
            </w:r>
            <w:r>
              <w:rPr>
                <w:rFonts w:cstheme="minorHAnsi"/>
              </w:rPr>
              <w:t xml:space="preserve"> home support workers, community and NGO services, al</w:t>
            </w:r>
            <w:r w:rsidR="00C32E6C">
              <w:rPr>
                <w:rFonts w:cstheme="minorHAnsi"/>
              </w:rPr>
              <w:t xml:space="preserve">l community public health teams, diagnostics </w:t>
            </w:r>
            <w:r>
              <w:rPr>
                <w:rFonts w:cstheme="minorHAnsi"/>
              </w:rPr>
              <w:t xml:space="preserve">and COVID-19 management teams at DHBs. </w:t>
            </w:r>
          </w:p>
        </w:tc>
      </w:tr>
      <w:tr w:rsidR="00476D7C" w:rsidRPr="00E9361D" w14:paraId="18E0391C" w14:textId="77777777" w:rsidTr="00C62447">
        <w:tc>
          <w:tcPr>
            <w:tcW w:w="737" w:type="dxa"/>
            <w:vMerge/>
          </w:tcPr>
          <w:p w14:paraId="75753094" w14:textId="77777777" w:rsidR="00476D7C" w:rsidRPr="00E9361D" w:rsidRDefault="00476D7C">
            <w:pPr>
              <w:rPr>
                <w:rFonts w:cstheme="minorHAnsi"/>
              </w:rPr>
            </w:pPr>
          </w:p>
        </w:tc>
        <w:tc>
          <w:tcPr>
            <w:tcW w:w="2235" w:type="dxa"/>
          </w:tcPr>
          <w:p w14:paraId="2BD5A5C3" w14:textId="77777777" w:rsidR="00476D7C" w:rsidRPr="00E9361D" w:rsidRDefault="00476D7C">
            <w:pPr>
              <w:rPr>
                <w:rFonts w:cstheme="minorHAnsi"/>
              </w:rPr>
            </w:pPr>
            <w:r>
              <w:rPr>
                <w:rFonts w:cstheme="minorHAnsi"/>
              </w:rPr>
              <w:t>At-risk people living in settings with a high risk of transmission or exposure to COVID-19</w:t>
            </w:r>
          </w:p>
        </w:tc>
        <w:tc>
          <w:tcPr>
            <w:tcW w:w="11482" w:type="dxa"/>
          </w:tcPr>
          <w:p w14:paraId="3E44F764" w14:textId="77777777" w:rsidR="00476D7C" w:rsidRPr="00E9361D" w:rsidRDefault="00476D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Approx. 234,000 people </w:t>
            </w:r>
            <w:r w:rsidRPr="00E9361D">
              <w:rPr>
                <w:rFonts w:cstheme="minorHAnsi"/>
              </w:rPr>
              <w:t>living</w:t>
            </w:r>
            <w:r w:rsidRPr="00E9361D">
              <w:rPr>
                <w:rFonts w:cstheme="minorHAnsi"/>
                <w:spacing w:val="-1"/>
              </w:rPr>
              <w:t xml:space="preserve"> </w:t>
            </w:r>
            <w:r w:rsidRPr="00E9361D">
              <w:rPr>
                <w:rFonts w:cstheme="minorHAnsi"/>
              </w:rPr>
              <w:t>in</w:t>
            </w:r>
            <w:r w:rsidRPr="00E9361D">
              <w:rPr>
                <w:rFonts w:cstheme="minorHAnsi"/>
                <w:spacing w:val="-1"/>
              </w:rPr>
              <w:t xml:space="preserve"> </w:t>
            </w:r>
            <w:r w:rsidRPr="00E9361D">
              <w:rPr>
                <w:rFonts w:cstheme="minorHAnsi"/>
              </w:rPr>
              <w:t>settings</w:t>
            </w:r>
            <w:r w:rsidRPr="00E9361D">
              <w:rPr>
                <w:rFonts w:cstheme="minorHAnsi"/>
                <w:spacing w:val="-1"/>
              </w:rPr>
              <w:t xml:space="preserve"> </w:t>
            </w:r>
            <w:r w:rsidRPr="00E9361D">
              <w:rPr>
                <w:rFonts w:cstheme="minorHAnsi"/>
              </w:rPr>
              <w:t>or</w:t>
            </w:r>
            <w:r w:rsidRPr="00E9361D">
              <w:rPr>
                <w:rFonts w:cstheme="minorHAnsi"/>
                <w:spacing w:val="-1"/>
              </w:rPr>
              <w:t xml:space="preserve"> </w:t>
            </w:r>
            <w:r w:rsidRPr="00E9361D">
              <w:rPr>
                <w:rFonts w:cstheme="minorHAnsi"/>
              </w:rPr>
              <w:t>locations</w:t>
            </w:r>
            <w:r w:rsidRPr="00E9361D">
              <w:rPr>
                <w:rFonts w:cstheme="minorHAnsi"/>
                <w:spacing w:val="-1"/>
              </w:rPr>
              <w:t xml:space="preserve"> </w:t>
            </w:r>
            <w:r w:rsidRPr="00E9361D">
              <w:rPr>
                <w:rFonts w:cstheme="minorHAnsi"/>
              </w:rPr>
              <w:t>that are</w:t>
            </w:r>
            <w:r w:rsidRPr="00E9361D">
              <w:rPr>
                <w:rFonts w:cstheme="minorHAnsi"/>
                <w:spacing w:val="-2"/>
              </w:rPr>
              <w:t xml:space="preserve"> </w:t>
            </w:r>
            <w:r w:rsidRPr="00E9361D">
              <w:rPr>
                <w:rFonts w:cstheme="minorHAnsi"/>
              </w:rPr>
              <w:t>“high</w:t>
            </w:r>
            <w:r w:rsidRPr="00E9361D">
              <w:rPr>
                <w:rFonts w:cstheme="minorHAnsi"/>
                <w:spacing w:val="-1"/>
              </w:rPr>
              <w:t xml:space="preserve"> </w:t>
            </w:r>
            <w:r w:rsidRPr="00E9361D">
              <w:rPr>
                <w:rFonts w:cstheme="minorHAnsi"/>
              </w:rPr>
              <w:t>risk”,</w:t>
            </w:r>
            <w:r w:rsidRPr="00E9361D">
              <w:rPr>
                <w:rFonts w:cstheme="minorHAnsi"/>
                <w:spacing w:val="-1"/>
              </w:rPr>
              <w:t xml:space="preserve"> </w:t>
            </w:r>
            <w:r w:rsidRPr="00E9361D">
              <w:rPr>
                <w:rFonts w:cstheme="minorHAnsi"/>
              </w:rPr>
              <w:t>including:</w:t>
            </w:r>
          </w:p>
          <w:p w14:paraId="76D39117" w14:textId="77777777" w:rsidR="00476D7C" w:rsidRPr="00E9361D" w:rsidRDefault="00476D7C" w:rsidP="00E936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9361D">
              <w:rPr>
                <w:rFonts w:asciiTheme="minorHAnsi" w:hAnsiTheme="minorHAnsi" w:cstheme="minorHAnsi"/>
              </w:rPr>
              <w:t>older people and people with relevant health conditions in the Counties Manukau District Health Board (DHB) district</w:t>
            </w:r>
          </w:p>
          <w:p w14:paraId="2D72106C" w14:textId="77777777" w:rsidR="00476D7C" w:rsidRPr="00E9361D" w:rsidRDefault="00476D7C" w:rsidP="00E936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9361D">
              <w:rPr>
                <w:rFonts w:asciiTheme="minorHAnsi" w:hAnsiTheme="minorHAnsi" w:cstheme="minorHAnsi"/>
              </w:rPr>
              <w:t>people in long-term residential care where a high</w:t>
            </w:r>
            <w:r w:rsidR="00391D23">
              <w:rPr>
                <w:rFonts w:asciiTheme="minorHAnsi" w:hAnsiTheme="minorHAnsi" w:cstheme="minorHAnsi"/>
              </w:rPr>
              <w:t xml:space="preserve"> proportion of residents are at </w:t>
            </w:r>
            <w:r w:rsidRPr="00E9361D">
              <w:rPr>
                <w:rFonts w:asciiTheme="minorHAnsi" w:hAnsiTheme="minorHAnsi" w:cstheme="minorHAnsi"/>
              </w:rPr>
              <w:t>risk of severe health outcomes if they contract COVID-19 (such as aged residential care); and</w:t>
            </w:r>
          </w:p>
          <w:p w14:paraId="0BECDCD3" w14:textId="77777777" w:rsidR="00476D7C" w:rsidRPr="00864E77" w:rsidRDefault="00476D7C" w:rsidP="00391D2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9361D">
              <w:rPr>
                <w:rFonts w:asciiTheme="minorHAnsi" w:hAnsiTheme="minorHAnsi" w:cstheme="minorHAnsi"/>
              </w:rPr>
              <w:t>older people living in a whānau environment</w:t>
            </w:r>
            <w:r w:rsidR="00391D23">
              <w:rPr>
                <w:rFonts w:asciiTheme="minorHAnsi" w:hAnsiTheme="minorHAnsi" w:cstheme="minorHAnsi"/>
              </w:rPr>
              <w:t xml:space="preserve"> and those they live with, as they face</w:t>
            </w:r>
            <w:r w:rsidRPr="00E9361D">
              <w:rPr>
                <w:rFonts w:asciiTheme="minorHAnsi" w:hAnsiTheme="minorHAnsi" w:cstheme="minorHAnsi"/>
              </w:rPr>
              <w:t xml:space="preserve"> a similar risk to those in aged residential care. This group will be supported by Māori and Pacific providers, and </w:t>
            </w:r>
            <w:r w:rsidR="00391D23">
              <w:rPr>
                <w:rFonts w:asciiTheme="minorHAnsi" w:hAnsiTheme="minorHAnsi" w:cstheme="minorHAnsi"/>
              </w:rPr>
              <w:t xml:space="preserve">an initial allocation of </w:t>
            </w:r>
            <w:r w:rsidRPr="00E9361D">
              <w:rPr>
                <w:rFonts w:asciiTheme="minorHAnsi" w:hAnsiTheme="minorHAnsi" w:cstheme="minorHAnsi"/>
              </w:rPr>
              <w:t xml:space="preserve">40,000 courses </w:t>
            </w:r>
            <w:r w:rsidR="00391D23">
              <w:rPr>
                <w:rFonts w:asciiTheme="minorHAnsi" w:hAnsiTheme="minorHAnsi" w:cstheme="minorHAnsi"/>
              </w:rPr>
              <w:t xml:space="preserve">will be provided </w:t>
            </w:r>
            <w:r w:rsidRPr="00E9361D">
              <w:rPr>
                <w:rFonts w:asciiTheme="minorHAnsi" w:hAnsiTheme="minorHAnsi" w:cstheme="minorHAnsi"/>
              </w:rPr>
              <w:t>to Māori and Pacific providers to distribute.</w:t>
            </w:r>
          </w:p>
        </w:tc>
      </w:tr>
      <w:tr w:rsidR="00864E77" w:rsidRPr="00E9361D" w14:paraId="58F3B0A8" w14:textId="77777777" w:rsidTr="00C62447">
        <w:tc>
          <w:tcPr>
            <w:tcW w:w="737" w:type="dxa"/>
          </w:tcPr>
          <w:p w14:paraId="6CFBB253" w14:textId="77777777" w:rsidR="00864E77" w:rsidRPr="00E9361D" w:rsidRDefault="00864E77">
            <w:pPr>
              <w:rPr>
                <w:rFonts w:cstheme="minorHAnsi"/>
                <w:b/>
              </w:rPr>
            </w:pPr>
            <w:r w:rsidRPr="00E9361D">
              <w:rPr>
                <w:rFonts w:cstheme="minorHAnsi"/>
                <w:b/>
              </w:rPr>
              <w:t>3</w:t>
            </w:r>
          </w:p>
        </w:tc>
        <w:tc>
          <w:tcPr>
            <w:tcW w:w="2235" w:type="dxa"/>
          </w:tcPr>
          <w:p w14:paraId="0EF4FB1D" w14:textId="77777777" w:rsidR="00864E77" w:rsidRPr="00E9361D" w:rsidRDefault="00864E77">
            <w:pPr>
              <w:rPr>
                <w:rFonts w:cstheme="minorHAnsi"/>
              </w:rPr>
            </w:pPr>
          </w:p>
        </w:tc>
        <w:tc>
          <w:tcPr>
            <w:tcW w:w="11482" w:type="dxa"/>
          </w:tcPr>
          <w:p w14:paraId="67523CCF" w14:textId="77777777" w:rsidR="00864E77" w:rsidRPr="00E9361D" w:rsidRDefault="00864E77">
            <w:pPr>
              <w:rPr>
                <w:rFonts w:cstheme="minorHAnsi"/>
              </w:rPr>
            </w:pPr>
          </w:p>
        </w:tc>
      </w:tr>
      <w:tr w:rsidR="00864E77" w:rsidRPr="00E9361D" w14:paraId="1073108A" w14:textId="77777777" w:rsidTr="00C62447">
        <w:tc>
          <w:tcPr>
            <w:tcW w:w="737" w:type="dxa"/>
          </w:tcPr>
          <w:p w14:paraId="17CD069C" w14:textId="77777777" w:rsidR="00864E77" w:rsidRPr="00E9361D" w:rsidRDefault="00C62447">
            <w:pPr>
              <w:rPr>
                <w:rFonts w:cstheme="minorHAnsi"/>
              </w:rPr>
            </w:pPr>
            <w:r w:rsidRPr="00E9361D">
              <w:rPr>
                <w:rFonts w:cstheme="minorHAnsi"/>
              </w:rPr>
              <w:t>3.a</w:t>
            </w:r>
          </w:p>
        </w:tc>
        <w:tc>
          <w:tcPr>
            <w:tcW w:w="2235" w:type="dxa"/>
          </w:tcPr>
          <w:p w14:paraId="2F833F87" w14:textId="77777777" w:rsidR="00864E77" w:rsidRPr="00E9361D" w:rsidRDefault="00C62447">
            <w:pPr>
              <w:rPr>
                <w:rFonts w:cstheme="minorHAnsi"/>
              </w:rPr>
            </w:pPr>
            <w:r>
              <w:rPr>
                <w:rFonts w:cstheme="minorHAnsi"/>
              </w:rPr>
              <w:t>People aged 70+</w:t>
            </w:r>
          </w:p>
        </w:tc>
        <w:tc>
          <w:tcPr>
            <w:tcW w:w="11482" w:type="dxa"/>
          </w:tcPr>
          <w:p w14:paraId="5928E200" w14:textId="77777777" w:rsidR="00864E77" w:rsidRPr="00E9361D" w:rsidRDefault="00476D7C" w:rsidP="00864E7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864E77">
              <w:rPr>
                <w:rFonts w:cstheme="minorHAnsi"/>
              </w:rPr>
              <w:t xml:space="preserve">pprox. 317,000 people aged 75 years or older who are not included in Group 2. </w:t>
            </w:r>
          </w:p>
        </w:tc>
      </w:tr>
      <w:tr w:rsidR="00864E77" w:rsidRPr="00E9361D" w14:paraId="474B188D" w14:textId="77777777" w:rsidTr="00C62447">
        <w:tc>
          <w:tcPr>
            <w:tcW w:w="737" w:type="dxa"/>
          </w:tcPr>
          <w:p w14:paraId="294E3F3F" w14:textId="77777777" w:rsidR="00864E77" w:rsidRPr="00E9361D" w:rsidRDefault="00C62447">
            <w:pPr>
              <w:rPr>
                <w:rFonts w:cstheme="minorHAnsi"/>
              </w:rPr>
            </w:pPr>
            <w:r w:rsidRPr="00E9361D">
              <w:rPr>
                <w:rFonts w:cstheme="minorHAnsi"/>
              </w:rPr>
              <w:t>3.b</w:t>
            </w:r>
          </w:p>
        </w:tc>
        <w:tc>
          <w:tcPr>
            <w:tcW w:w="2235" w:type="dxa"/>
          </w:tcPr>
          <w:p w14:paraId="39DD27CF" w14:textId="77777777" w:rsidR="00864E77" w:rsidRPr="00E9361D" w:rsidRDefault="0073647F">
            <w:pPr>
              <w:rPr>
                <w:rFonts w:cstheme="minorHAnsi"/>
              </w:rPr>
            </w:pPr>
            <w:r>
              <w:rPr>
                <w:rFonts w:cstheme="minorHAnsi"/>
              </w:rPr>
              <w:t>People aged 65+</w:t>
            </w:r>
          </w:p>
        </w:tc>
        <w:tc>
          <w:tcPr>
            <w:tcW w:w="11482" w:type="dxa"/>
          </w:tcPr>
          <w:p w14:paraId="744CF475" w14:textId="77777777" w:rsidR="00864E77" w:rsidRPr="00E9361D" w:rsidRDefault="00476D7C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864E77">
              <w:rPr>
                <w:rFonts w:cstheme="minorHAnsi"/>
              </w:rPr>
              <w:t xml:space="preserve">pprox. 432,000 people aged 65-74 years who are who are not included in Group 2. </w:t>
            </w:r>
          </w:p>
        </w:tc>
      </w:tr>
      <w:tr w:rsidR="00864E77" w:rsidRPr="00E9361D" w14:paraId="649CA579" w14:textId="77777777" w:rsidTr="00C62447">
        <w:tc>
          <w:tcPr>
            <w:tcW w:w="737" w:type="dxa"/>
          </w:tcPr>
          <w:p w14:paraId="26F9B05E" w14:textId="77777777" w:rsidR="00864E77" w:rsidRPr="00E9361D" w:rsidRDefault="00C62447">
            <w:pPr>
              <w:rPr>
                <w:rFonts w:cstheme="minorHAnsi"/>
              </w:rPr>
            </w:pPr>
            <w:r w:rsidRPr="00E9361D">
              <w:rPr>
                <w:rFonts w:cstheme="minorHAnsi"/>
              </w:rPr>
              <w:t>3.c</w:t>
            </w:r>
          </w:p>
        </w:tc>
        <w:tc>
          <w:tcPr>
            <w:tcW w:w="2235" w:type="dxa"/>
          </w:tcPr>
          <w:p w14:paraId="53EFC324" w14:textId="77777777" w:rsidR="00864E77" w:rsidRPr="00E9361D" w:rsidRDefault="0073647F">
            <w:pPr>
              <w:rPr>
                <w:rFonts w:cstheme="minorHAnsi"/>
              </w:rPr>
            </w:pPr>
            <w:r>
              <w:rPr>
                <w:rFonts w:cstheme="minorHAnsi"/>
              </w:rPr>
              <w:t>People with underlying health conditions or disabilities</w:t>
            </w:r>
          </w:p>
        </w:tc>
        <w:tc>
          <w:tcPr>
            <w:tcW w:w="11482" w:type="dxa"/>
          </w:tcPr>
          <w:p w14:paraId="301E1060" w14:textId="77777777" w:rsidR="00BD2215" w:rsidRDefault="00476D7C" w:rsidP="00864E7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BD2215">
              <w:rPr>
                <w:rFonts w:cstheme="minorHAnsi"/>
              </w:rPr>
              <w:t xml:space="preserve">pprox. 730,000 </w:t>
            </w:r>
            <w:r w:rsidR="00864E77">
              <w:rPr>
                <w:rFonts w:cstheme="minorHAnsi"/>
              </w:rPr>
              <w:t xml:space="preserve">people with </w:t>
            </w:r>
            <w:r w:rsidR="00BD2215" w:rsidRPr="00391D23">
              <w:rPr>
                <w:rFonts w:cstheme="minorHAnsi"/>
                <w:sz w:val="20"/>
              </w:rPr>
              <w:t>*</w:t>
            </w:r>
            <w:r w:rsidR="00864E77">
              <w:rPr>
                <w:rFonts w:cstheme="minorHAnsi"/>
              </w:rPr>
              <w:t xml:space="preserve">relevant underlying health conditions and/or disabled people </w:t>
            </w:r>
            <w:r w:rsidR="0073647F">
              <w:rPr>
                <w:rFonts w:cstheme="minorHAnsi"/>
              </w:rPr>
              <w:t xml:space="preserve">nationwide.  </w:t>
            </w:r>
          </w:p>
          <w:p w14:paraId="0C66F39E" w14:textId="77777777" w:rsidR="00BD2215" w:rsidRPr="00E9361D" w:rsidRDefault="00BD2215" w:rsidP="00BD2215">
            <w:pPr>
              <w:rPr>
                <w:rFonts w:cstheme="minorHAnsi"/>
              </w:rPr>
            </w:pPr>
            <w:r w:rsidRPr="00391D23">
              <w:rPr>
                <w:rFonts w:cstheme="minorHAnsi"/>
                <w:sz w:val="20"/>
              </w:rPr>
              <w:t>*</w:t>
            </w:r>
            <w:r>
              <w:rPr>
                <w:rFonts w:cstheme="minorHAnsi"/>
              </w:rPr>
              <w:t>Relevant health conditions include</w:t>
            </w:r>
            <w:r>
              <w:t xml:space="preserve"> </w:t>
            </w:r>
            <w:r w:rsidRPr="00BD2215">
              <w:rPr>
                <w:rFonts w:cstheme="minorHAnsi"/>
              </w:rPr>
              <w:t>coronary heart disease, hypertension, stroke, diabetes, chronic obstructive pulmonary disease/chronic respirat</w:t>
            </w:r>
            <w:r>
              <w:rPr>
                <w:rFonts w:cstheme="minorHAnsi"/>
              </w:rPr>
              <w:t xml:space="preserve">ory conditions, kidney disease and cancer. This also includes people who are pregnant. </w:t>
            </w:r>
          </w:p>
        </w:tc>
      </w:tr>
      <w:tr w:rsidR="00864E77" w:rsidRPr="00E9361D" w14:paraId="63A990C3" w14:textId="77777777" w:rsidTr="00C62447">
        <w:tc>
          <w:tcPr>
            <w:tcW w:w="737" w:type="dxa"/>
          </w:tcPr>
          <w:p w14:paraId="6885122F" w14:textId="77777777" w:rsidR="00864E77" w:rsidRPr="00BD2215" w:rsidRDefault="00864E77">
            <w:pPr>
              <w:rPr>
                <w:rFonts w:cstheme="minorHAnsi"/>
                <w:b/>
              </w:rPr>
            </w:pPr>
            <w:r w:rsidRPr="00BD2215">
              <w:rPr>
                <w:rFonts w:cstheme="minorHAnsi"/>
                <w:b/>
              </w:rPr>
              <w:t>4</w:t>
            </w:r>
          </w:p>
        </w:tc>
        <w:tc>
          <w:tcPr>
            <w:tcW w:w="2235" w:type="dxa"/>
          </w:tcPr>
          <w:p w14:paraId="54177F3F" w14:textId="77777777" w:rsidR="00864E77" w:rsidRPr="00E9361D" w:rsidRDefault="00864E77">
            <w:pPr>
              <w:rPr>
                <w:rFonts w:cstheme="minorHAnsi"/>
              </w:rPr>
            </w:pPr>
          </w:p>
        </w:tc>
        <w:tc>
          <w:tcPr>
            <w:tcW w:w="11482" w:type="dxa"/>
          </w:tcPr>
          <w:p w14:paraId="24797C7D" w14:textId="77777777" w:rsidR="00864E77" w:rsidRPr="00E9361D" w:rsidRDefault="00BD22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remainder of the population, approx. 2 million people. </w:t>
            </w:r>
          </w:p>
        </w:tc>
      </w:tr>
    </w:tbl>
    <w:p w14:paraId="7B23825F" w14:textId="77777777" w:rsidR="001662F1" w:rsidRPr="001662F1" w:rsidRDefault="001662F1" w:rsidP="00C32E6C">
      <w:pPr>
        <w:rPr>
          <w:rFonts w:cstheme="minorHAnsi"/>
          <w:i/>
        </w:rPr>
      </w:pPr>
    </w:p>
    <w:sectPr w:rsidR="001662F1" w:rsidRPr="001662F1" w:rsidSect="00C624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4C3E"/>
    <w:multiLevelType w:val="hybridMultilevel"/>
    <w:tmpl w:val="FA58922C"/>
    <w:lvl w:ilvl="0" w:tplc="8E549B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A41B4"/>
    <w:multiLevelType w:val="hybridMultilevel"/>
    <w:tmpl w:val="5A70F4E0"/>
    <w:lvl w:ilvl="0" w:tplc="069C11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5252"/>
    <w:multiLevelType w:val="hybridMultilevel"/>
    <w:tmpl w:val="A1CC9CEA"/>
    <w:lvl w:ilvl="0" w:tplc="6FB04A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E0048"/>
    <w:multiLevelType w:val="hybridMultilevel"/>
    <w:tmpl w:val="90F455DC"/>
    <w:lvl w:ilvl="0" w:tplc="2376C0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84253"/>
    <w:multiLevelType w:val="multilevel"/>
    <w:tmpl w:val="C2002A56"/>
    <w:lvl w:ilvl="0">
      <w:start w:val="1"/>
      <w:numFmt w:val="decimal"/>
      <w:lvlText w:val="%1"/>
      <w:lvlJc w:val="left"/>
      <w:pPr>
        <w:ind w:left="1060" w:hanging="720"/>
      </w:pPr>
      <w:rPr>
        <w:rFonts w:hint="default"/>
        <w:w w:val="100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78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NZ" w:eastAsia="en-US" w:bidi="ar-SA"/>
      </w:rPr>
    </w:lvl>
    <w:lvl w:ilvl="2">
      <w:start w:val="1"/>
      <w:numFmt w:val="decimal"/>
      <w:lvlText w:val="%1.%2.%3"/>
      <w:lvlJc w:val="left"/>
      <w:pPr>
        <w:ind w:left="2750" w:hanging="9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NZ" w:eastAsia="en-US" w:bidi="ar-SA"/>
      </w:rPr>
    </w:lvl>
    <w:lvl w:ilvl="3">
      <w:numFmt w:val="bullet"/>
      <w:lvlText w:val="•"/>
      <w:lvlJc w:val="left"/>
      <w:pPr>
        <w:ind w:left="3598" w:hanging="970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436" w:hanging="970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5274" w:hanging="970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113" w:hanging="970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6951" w:hanging="970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7789" w:hanging="970"/>
      </w:pPr>
      <w:rPr>
        <w:rFonts w:hint="default"/>
        <w:lang w:val="en-NZ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D"/>
    <w:rsid w:val="000D2093"/>
    <w:rsid w:val="001662F1"/>
    <w:rsid w:val="002D679B"/>
    <w:rsid w:val="00391D23"/>
    <w:rsid w:val="00476D7C"/>
    <w:rsid w:val="004C5687"/>
    <w:rsid w:val="0073647F"/>
    <w:rsid w:val="00787193"/>
    <w:rsid w:val="00864E77"/>
    <w:rsid w:val="0092169D"/>
    <w:rsid w:val="00BD2215"/>
    <w:rsid w:val="00C32E6C"/>
    <w:rsid w:val="00C62447"/>
    <w:rsid w:val="00C95684"/>
    <w:rsid w:val="00E9361D"/>
    <w:rsid w:val="00F526EA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7551"/>
  <w15:chartTrackingRefBased/>
  <w15:docId w15:val="{6D6C6C28-0075-45F1-896C-AFE7F877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9361D"/>
    <w:pPr>
      <w:widowControl w:val="0"/>
      <w:autoSpaceDE w:val="0"/>
      <w:autoSpaceDN w:val="0"/>
      <w:spacing w:after="0" w:line="240" w:lineRule="auto"/>
      <w:ind w:left="106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Garrick</dc:creator>
  <cp:keywords/>
  <dc:description/>
  <cp:lastModifiedBy>Emily Tilley</cp:lastModifiedBy>
  <cp:revision>2</cp:revision>
  <cp:lastPrinted>2021-03-09T21:57:00Z</cp:lastPrinted>
  <dcterms:created xsi:type="dcterms:W3CDTF">2021-03-10T21:40:00Z</dcterms:created>
  <dcterms:modified xsi:type="dcterms:W3CDTF">2021-03-10T21:40:00Z</dcterms:modified>
</cp:coreProperties>
</file>